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B814" w14:textId="1893D2F1" w:rsidR="004D7F7D" w:rsidRDefault="004D7F7D" w:rsidP="00B52C85">
      <w:pPr>
        <w:pStyle w:val="Default"/>
        <w:rPr>
          <w:rFonts w:asciiTheme="minorHAnsi" w:hAnsiTheme="minorHAnsi" w:cstheme="minorHAnsi"/>
          <w:b/>
          <w:bCs/>
        </w:rPr>
      </w:pPr>
      <w:r>
        <w:rPr>
          <w:rFonts w:asciiTheme="minorHAnsi" w:hAnsiTheme="minorHAnsi" w:cstheme="minorHAnsi"/>
          <w:b/>
          <w:bCs/>
          <w:noProof/>
        </w:rPr>
        <w:drawing>
          <wp:inline distT="0" distB="0" distL="0" distR="0" wp14:anchorId="7A101CBF" wp14:editId="4EDD7B8D">
            <wp:extent cx="5943600" cy="1049020"/>
            <wp:effectExtent l="0" t="0" r="0" b="5080"/>
            <wp:docPr id="23579989"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9989" name="Picture 1" descr="A logo of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049020"/>
                    </a:xfrm>
                    <a:prstGeom prst="rect">
                      <a:avLst/>
                    </a:prstGeom>
                  </pic:spPr>
                </pic:pic>
              </a:graphicData>
            </a:graphic>
          </wp:inline>
        </w:drawing>
      </w:r>
    </w:p>
    <w:p w14:paraId="0F1FF5AA" w14:textId="77777777" w:rsidR="004D7F7D" w:rsidRDefault="004D7F7D" w:rsidP="00B52C85">
      <w:pPr>
        <w:pStyle w:val="Default"/>
        <w:rPr>
          <w:rFonts w:asciiTheme="minorHAnsi" w:hAnsiTheme="minorHAnsi" w:cstheme="minorHAnsi"/>
          <w:b/>
          <w:bCs/>
        </w:rPr>
      </w:pPr>
    </w:p>
    <w:p w14:paraId="62B57903" w14:textId="77777777" w:rsidR="00E20CAE" w:rsidRDefault="00E20CAE" w:rsidP="00E20CAE">
      <w:pPr>
        <w:pStyle w:val="Default"/>
        <w:rPr>
          <w:rFonts w:asciiTheme="minorHAnsi" w:hAnsiTheme="minorHAnsi" w:cstheme="minorHAnsi"/>
          <w:b/>
          <w:bCs/>
        </w:rPr>
      </w:pPr>
    </w:p>
    <w:p w14:paraId="66F04706" w14:textId="22247D09" w:rsidR="00E20CAE" w:rsidRPr="006A1BBE" w:rsidRDefault="00E20CAE" w:rsidP="00E20CAE">
      <w:pPr>
        <w:pStyle w:val="Default"/>
        <w:jc w:val="center"/>
        <w:rPr>
          <w:rFonts w:asciiTheme="minorHAnsi" w:hAnsiTheme="minorHAnsi" w:cstheme="minorHAnsi"/>
        </w:rPr>
      </w:pPr>
      <w:r w:rsidRPr="006A1BBE">
        <w:rPr>
          <w:rFonts w:asciiTheme="minorHAnsi" w:hAnsiTheme="minorHAnsi" w:cstheme="minorHAnsi"/>
          <w:b/>
          <w:bCs/>
        </w:rPr>
        <w:t>SAMPLE PTAB</w:t>
      </w:r>
      <w:r>
        <w:rPr>
          <w:rFonts w:asciiTheme="minorHAnsi" w:hAnsiTheme="minorHAnsi" w:cstheme="minorHAnsi"/>
          <w:b/>
          <w:bCs/>
        </w:rPr>
        <w:t xml:space="preserve"> with the DETOUR™ System</w:t>
      </w:r>
      <w:r w:rsidRPr="006A1BBE">
        <w:rPr>
          <w:rFonts w:asciiTheme="minorHAnsi" w:hAnsiTheme="minorHAnsi" w:cstheme="minorHAnsi"/>
          <w:b/>
          <w:bCs/>
        </w:rPr>
        <w:t xml:space="preserve"> AUTHORIZATION LETTER</w:t>
      </w:r>
    </w:p>
    <w:p w14:paraId="2AE19057" w14:textId="77777777" w:rsidR="00E20CAE" w:rsidRDefault="00E20CAE" w:rsidP="00E20CAE">
      <w:pPr>
        <w:spacing w:after="0"/>
        <w:rPr>
          <w:rFonts w:cstheme="minorHAnsi"/>
          <w:b/>
          <w:bCs/>
          <w:sz w:val="24"/>
          <w:szCs w:val="24"/>
        </w:rPr>
      </w:pPr>
    </w:p>
    <w:p w14:paraId="2A6B274F" w14:textId="77777777" w:rsidR="00E20CAE" w:rsidRDefault="00E20CAE" w:rsidP="00E20CAE">
      <w:pPr>
        <w:spacing w:after="0"/>
        <w:rPr>
          <w:rFonts w:cstheme="minorHAnsi"/>
          <w:b/>
          <w:bCs/>
          <w:sz w:val="24"/>
          <w:szCs w:val="24"/>
        </w:rPr>
      </w:pPr>
      <w:r>
        <w:rPr>
          <w:rFonts w:cstheme="minorHAnsi"/>
          <w:b/>
          <w:bCs/>
          <w:sz w:val="24"/>
          <w:szCs w:val="24"/>
        </w:rPr>
        <w:t>Background:</w:t>
      </w:r>
    </w:p>
    <w:p w14:paraId="6BCFC309" w14:textId="6CDD9A15" w:rsidR="00E20CAE" w:rsidRDefault="00E20CAE" w:rsidP="00E20CAE">
      <w:pPr>
        <w:spacing w:after="0"/>
        <w:rPr>
          <w:rFonts w:cstheme="minorHAnsi"/>
          <w:sz w:val="24"/>
          <w:szCs w:val="24"/>
        </w:rPr>
      </w:pPr>
      <w:r>
        <w:rPr>
          <w:rFonts w:cstheme="minorHAnsi"/>
          <w:sz w:val="24"/>
          <w:szCs w:val="24"/>
        </w:rPr>
        <w:t xml:space="preserve">Endologix </w:t>
      </w:r>
      <w:proofErr w:type="gramStart"/>
      <w:r>
        <w:rPr>
          <w:rFonts w:cstheme="minorHAnsi"/>
          <w:sz w:val="24"/>
          <w:szCs w:val="24"/>
        </w:rPr>
        <w:t>is providing</w:t>
      </w:r>
      <w:proofErr w:type="gramEnd"/>
      <w:r>
        <w:rPr>
          <w:rFonts w:cstheme="minorHAnsi"/>
          <w:sz w:val="24"/>
          <w:szCs w:val="24"/>
        </w:rPr>
        <w:t xml:space="preserve"> sample information to support you and your patient’s request for Authorization for PTAB.  The information is not intended to be used as a form letter.  Please customize the information to reflect the specific background, medical history, and diagnosis of your patient.  </w:t>
      </w:r>
    </w:p>
    <w:p w14:paraId="1C7A1919" w14:textId="77777777" w:rsidR="00E20CAE" w:rsidRDefault="00E20CAE" w:rsidP="00E20CAE">
      <w:pPr>
        <w:spacing w:after="0"/>
        <w:rPr>
          <w:rFonts w:cstheme="minorHAnsi"/>
          <w:sz w:val="24"/>
          <w:szCs w:val="24"/>
        </w:rPr>
      </w:pPr>
    </w:p>
    <w:p w14:paraId="13218C0E" w14:textId="77777777" w:rsidR="00E20CAE" w:rsidRDefault="00E20CAE" w:rsidP="00E20CAE">
      <w:pPr>
        <w:spacing w:after="0"/>
        <w:rPr>
          <w:rFonts w:ascii="Calibri" w:hAnsi="Calibri" w:cs="Calibri"/>
          <w:color w:val="000000"/>
          <w:sz w:val="16"/>
          <w:szCs w:val="16"/>
        </w:rPr>
      </w:pPr>
      <w:r>
        <w:rPr>
          <w:rFonts w:cstheme="minorHAnsi"/>
          <w:sz w:val="24"/>
          <w:szCs w:val="24"/>
        </w:rPr>
        <w:t xml:space="preserve">You are responsible for the accuracy and appropriateness of the content of your communications with payers.  Also, there may be specific requirements by the payer that will need to be included.  </w:t>
      </w:r>
      <w:r w:rsidRPr="00B02A79">
        <w:rPr>
          <w:rFonts w:ascii="Calibri" w:hAnsi="Calibri" w:cs="Calibri"/>
          <w:color w:val="000000"/>
          <w:sz w:val="16"/>
          <w:szCs w:val="16"/>
        </w:rPr>
        <w:t xml:space="preserve"> </w:t>
      </w:r>
    </w:p>
    <w:p w14:paraId="0906C2DD" w14:textId="77777777" w:rsidR="00E20CAE" w:rsidRDefault="00E20CAE" w:rsidP="00E20CAE">
      <w:pPr>
        <w:spacing w:after="0"/>
        <w:rPr>
          <w:rFonts w:ascii="Calibri" w:hAnsi="Calibri" w:cs="Calibri"/>
          <w:color w:val="000000"/>
          <w:sz w:val="16"/>
          <w:szCs w:val="16"/>
        </w:rPr>
      </w:pPr>
    </w:p>
    <w:p w14:paraId="636E6097" w14:textId="77777777" w:rsidR="00E20CAE" w:rsidRPr="000D69DB" w:rsidRDefault="00E20CAE" w:rsidP="00E20CAE">
      <w:pPr>
        <w:spacing w:after="0"/>
        <w:rPr>
          <w:rFonts w:cstheme="minorHAnsi"/>
          <w:sz w:val="24"/>
          <w:szCs w:val="24"/>
        </w:rPr>
      </w:pPr>
      <w:r>
        <w:rPr>
          <w:rFonts w:cstheme="minorHAnsi"/>
          <w:sz w:val="24"/>
          <w:szCs w:val="24"/>
        </w:rPr>
        <w:t>If you do incorporate any of the information provided, please make sure to delete any of the instructions, disclaimers, or logos so the payer or health plan does not misinterpret the source of the information.</w:t>
      </w:r>
      <w:r w:rsidRPr="000D69DB">
        <w:rPr>
          <w:rFonts w:cstheme="minorHAnsi"/>
          <w:sz w:val="24"/>
          <w:szCs w:val="24"/>
        </w:rPr>
        <w:t xml:space="preserve"> </w:t>
      </w:r>
    </w:p>
    <w:p w14:paraId="6B50FD95" w14:textId="77777777" w:rsidR="00E20CAE" w:rsidRDefault="00E20CAE" w:rsidP="00E20CAE">
      <w:pPr>
        <w:spacing w:after="0"/>
        <w:rPr>
          <w:rFonts w:cstheme="minorHAnsi"/>
          <w:b/>
          <w:bCs/>
          <w:sz w:val="24"/>
          <w:szCs w:val="24"/>
        </w:rPr>
      </w:pPr>
    </w:p>
    <w:p w14:paraId="1D1D26C8" w14:textId="77777777" w:rsidR="00E20CAE" w:rsidRPr="006A1BBE" w:rsidRDefault="00E20CAE" w:rsidP="00E20CAE">
      <w:pPr>
        <w:spacing w:after="0"/>
        <w:rPr>
          <w:rFonts w:cstheme="minorHAnsi"/>
          <w:sz w:val="24"/>
          <w:szCs w:val="24"/>
        </w:rPr>
      </w:pPr>
      <w:r w:rsidRPr="006A1BBE">
        <w:rPr>
          <w:rFonts w:cstheme="minorHAnsi"/>
          <w:b/>
          <w:bCs/>
          <w:sz w:val="24"/>
          <w:szCs w:val="24"/>
        </w:rPr>
        <w:t>Instructions:</w:t>
      </w:r>
    </w:p>
    <w:p w14:paraId="02657EA2" w14:textId="77777777" w:rsidR="00E20CAE" w:rsidRPr="00D9593C" w:rsidRDefault="00E20CAE" w:rsidP="00E20CAE">
      <w:pPr>
        <w:spacing w:after="0"/>
        <w:rPr>
          <w:rFonts w:cstheme="minorHAnsi"/>
          <w:sz w:val="16"/>
          <w:szCs w:val="16"/>
        </w:rPr>
      </w:pPr>
    </w:p>
    <w:p w14:paraId="0AB7B444" w14:textId="77777777" w:rsidR="00E20CAE" w:rsidRDefault="00E20CAE" w:rsidP="00E20CAE">
      <w:pPr>
        <w:pStyle w:val="ListParagraph"/>
        <w:numPr>
          <w:ilvl w:val="0"/>
          <w:numId w:val="6"/>
        </w:numPr>
        <w:spacing w:after="0"/>
        <w:rPr>
          <w:rFonts w:cstheme="minorHAnsi"/>
          <w:sz w:val="24"/>
          <w:szCs w:val="24"/>
        </w:rPr>
      </w:pPr>
      <w:r w:rsidRPr="000D69DB">
        <w:rPr>
          <w:rFonts w:cstheme="minorHAnsi"/>
          <w:sz w:val="24"/>
          <w:szCs w:val="24"/>
        </w:rPr>
        <w:t xml:space="preserve">Copy and paste the letter content beginning on the </w:t>
      </w:r>
      <w:r w:rsidRPr="000D69DB">
        <w:rPr>
          <w:rFonts w:cstheme="minorHAnsi"/>
          <w:sz w:val="24"/>
          <w:szCs w:val="24"/>
          <w:u w:val="single"/>
        </w:rPr>
        <w:t>third (3</w:t>
      </w:r>
      <w:r w:rsidRPr="000D69DB">
        <w:rPr>
          <w:rFonts w:cstheme="minorHAnsi"/>
          <w:sz w:val="24"/>
          <w:szCs w:val="24"/>
          <w:u w:val="single"/>
          <w:vertAlign w:val="superscript"/>
        </w:rPr>
        <w:t>rd</w:t>
      </w:r>
      <w:r w:rsidRPr="000D69DB">
        <w:rPr>
          <w:rFonts w:cstheme="minorHAnsi"/>
          <w:sz w:val="24"/>
          <w:szCs w:val="24"/>
          <w:u w:val="single"/>
        </w:rPr>
        <w:t>) page</w:t>
      </w:r>
      <w:r w:rsidRPr="000D69DB">
        <w:rPr>
          <w:rFonts w:cstheme="minorHAnsi"/>
          <w:sz w:val="24"/>
          <w:szCs w:val="24"/>
        </w:rPr>
        <w:t xml:space="preserve"> onto physician practice letterhead or a blank sheet of paper.  </w:t>
      </w:r>
    </w:p>
    <w:p w14:paraId="448B5D03" w14:textId="77777777" w:rsidR="00E20CAE" w:rsidRDefault="00E20CAE" w:rsidP="00E20CAE">
      <w:pPr>
        <w:pStyle w:val="ListParagraph"/>
        <w:spacing w:after="0"/>
        <w:rPr>
          <w:rFonts w:cstheme="minorHAnsi"/>
          <w:sz w:val="24"/>
          <w:szCs w:val="24"/>
        </w:rPr>
      </w:pPr>
    </w:p>
    <w:p w14:paraId="317C116D" w14:textId="77777777" w:rsidR="00E20CAE" w:rsidRPr="000D69DB" w:rsidRDefault="00E20CAE" w:rsidP="00E20CAE">
      <w:pPr>
        <w:pStyle w:val="ListParagraph"/>
        <w:numPr>
          <w:ilvl w:val="0"/>
          <w:numId w:val="6"/>
        </w:numPr>
        <w:spacing w:after="0"/>
        <w:rPr>
          <w:rFonts w:cstheme="minorHAnsi"/>
          <w:sz w:val="24"/>
          <w:szCs w:val="24"/>
        </w:rPr>
      </w:pPr>
      <w:r w:rsidRPr="000D69DB">
        <w:rPr>
          <w:rFonts w:cstheme="minorHAnsi"/>
          <w:sz w:val="24"/>
          <w:szCs w:val="24"/>
        </w:rPr>
        <w:t>Delete the first and second pages of this document containing the instructions, indications, and disclaimer.</w:t>
      </w:r>
    </w:p>
    <w:p w14:paraId="7FB548E0" w14:textId="77777777" w:rsidR="00E20CAE" w:rsidRPr="003461F4" w:rsidRDefault="00E20CAE" w:rsidP="00E20CAE">
      <w:pPr>
        <w:spacing w:after="0"/>
        <w:rPr>
          <w:rFonts w:cstheme="minorHAnsi"/>
          <w:sz w:val="24"/>
          <w:szCs w:val="24"/>
        </w:rPr>
      </w:pPr>
    </w:p>
    <w:p w14:paraId="68B9C81C" w14:textId="77777777" w:rsidR="00E20CAE" w:rsidRPr="000D69DB" w:rsidRDefault="00E20CAE" w:rsidP="00E20CAE">
      <w:pPr>
        <w:pStyle w:val="ListParagraph"/>
        <w:numPr>
          <w:ilvl w:val="0"/>
          <w:numId w:val="6"/>
        </w:numPr>
        <w:spacing w:after="0"/>
        <w:rPr>
          <w:rFonts w:cstheme="minorHAnsi"/>
          <w:sz w:val="24"/>
          <w:szCs w:val="24"/>
        </w:rPr>
      </w:pPr>
      <w:r w:rsidRPr="000D69DB">
        <w:rPr>
          <w:rFonts w:cstheme="minorHAnsi"/>
          <w:sz w:val="24"/>
          <w:szCs w:val="24"/>
        </w:rPr>
        <w:t xml:space="preserve">Fill in date, payer, and patient subscriber identifying information.  </w:t>
      </w:r>
    </w:p>
    <w:p w14:paraId="3A3EDB6D" w14:textId="77777777" w:rsidR="00E20CAE" w:rsidRPr="003461F4" w:rsidRDefault="00E20CAE" w:rsidP="00E20CAE">
      <w:pPr>
        <w:spacing w:after="0"/>
        <w:rPr>
          <w:rFonts w:cstheme="minorHAnsi"/>
          <w:sz w:val="24"/>
          <w:szCs w:val="24"/>
        </w:rPr>
      </w:pPr>
    </w:p>
    <w:p w14:paraId="1874A4BD" w14:textId="77777777" w:rsidR="00E20CAE" w:rsidRPr="000D69DB" w:rsidRDefault="00E20CAE" w:rsidP="00E20CAE">
      <w:pPr>
        <w:pStyle w:val="ListParagraph"/>
        <w:numPr>
          <w:ilvl w:val="0"/>
          <w:numId w:val="6"/>
        </w:numPr>
        <w:spacing w:after="0"/>
        <w:rPr>
          <w:rFonts w:cstheme="minorHAnsi"/>
          <w:sz w:val="24"/>
          <w:szCs w:val="24"/>
        </w:rPr>
      </w:pPr>
      <w:r w:rsidRPr="000D69DB">
        <w:rPr>
          <w:rFonts w:cstheme="minorHAnsi"/>
          <w:sz w:val="24"/>
          <w:szCs w:val="24"/>
        </w:rPr>
        <w:t>Provide a detailed description of patient clinical status and supporting information, attempted therapies, and rationale for PTAB with the DETOUR System (e.g., non-surgical candidate).</w:t>
      </w:r>
    </w:p>
    <w:p w14:paraId="4DE0ACB8" w14:textId="77777777" w:rsidR="00E20CAE" w:rsidRPr="003461F4" w:rsidRDefault="00E20CAE" w:rsidP="00E20CAE">
      <w:pPr>
        <w:spacing w:after="0"/>
        <w:rPr>
          <w:rFonts w:cstheme="minorHAnsi"/>
          <w:sz w:val="24"/>
          <w:szCs w:val="24"/>
        </w:rPr>
      </w:pPr>
    </w:p>
    <w:p w14:paraId="3F4EE250" w14:textId="77777777" w:rsidR="00E20CAE" w:rsidRPr="000D69DB" w:rsidRDefault="00E20CAE" w:rsidP="00E20CAE">
      <w:pPr>
        <w:pStyle w:val="ListParagraph"/>
        <w:numPr>
          <w:ilvl w:val="0"/>
          <w:numId w:val="6"/>
        </w:numPr>
        <w:spacing w:after="0"/>
        <w:rPr>
          <w:rFonts w:cstheme="minorHAnsi"/>
          <w:sz w:val="24"/>
          <w:szCs w:val="24"/>
        </w:rPr>
      </w:pPr>
      <w:r w:rsidRPr="000D69DB">
        <w:rPr>
          <w:rFonts w:cstheme="minorHAnsi"/>
          <w:sz w:val="24"/>
          <w:szCs w:val="24"/>
        </w:rPr>
        <w:t>Fill in comparative procedure charges, anticipated procedure date and location, your name, credentials, and contact information.</w:t>
      </w:r>
    </w:p>
    <w:p w14:paraId="504CFE3D" w14:textId="77777777" w:rsidR="00E20CAE" w:rsidRPr="003461F4" w:rsidRDefault="00E20CAE" w:rsidP="00E20CAE">
      <w:pPr>
        <w:spacing w:after="0"/>
        <w:rPr>
          <w:rFonts w:cstheme="minorHAnsi"/>
          <w:sz w:val="24"/>
          <w:szCs w:val="24"/>
        </w:rPr>
      </w:pPr>
    </w:p>
    <w:p w14:paraId="34C24892" w14:textId="77777777" w:rsidR="00E20CAE" w:rsidRPr="000D69DB" w:rsidRDefault="00E20CAE" w:rsidP="00E20CAE">
      <w:pPr>
        <w:pStyle w:val="ListParagraph"/>
        <w:numPr>
          <w:ilvl w:val="0"/>
          <w:numId w:val="6"/>
        </w:numPr>
        <w:spacing w:after="0"/>
        <w:rPr>
          <w:rFonts w:cstheme="minorHAnsi"/>
          <w:sz w:val="24"/>
          <w:szCs w:val="24"/>
        </w:rPr>
      </w:pPr>
      <w:r w:rsidRPr="000D69DB">
        <w:rPr>
          <w:rFonts w:cstheme="minorHAnsi"/>
          <w:sz w:val="24"/>
          <w:szCs w:val="24"/>
        </w:rPr>
        <w:t>Return all colored/italicized text to standard style print and delete any extraneous text.</w:t>
      </w:r>
    </w:p>
    <w:p w14:paraId="1C66DDC9" w14:textId="77777777" w:rsidR="00E20CAE" w:rsidRPr="00D9593C" w:rsidRDefault="00E20CAE" w:rsidP="00E20CAE">
      <w:pPr>
        <w:spacing w:after="0"/>
        <w:rPr>
          <w:rFonts w:cstheme="minorHAnsi"/>
          <w:sz w:val="16"/>
          <w:szCs w:val="16"/>
        </w:rPr>
      </w:pPr>
      <w:bookmarkStart w:id="0" w:name="_Hlk138681008"/>
    </w:p>
    <w:p w14:paraId="31572C35" w14:textId="77777777" w:rsidR="00E20CAE" w:rsidRDefault="00E20CAE" w:rsidP="00E20CAE">
      <w:pPr>
        <w:spacing w:after="0"/>
        <w:rPr>
          <w:rFonts w:cstheme="minorHAnsi"/>
          <w:sz w:val="18"/>
          <w:szCs w:val="18"/>
        </w:rPr>
      </w:pPr>
    </w:p>
    <w:p w14:paraId="7847ABF7" w14:textId="77777777" w:rsidR="00E20CAE" w:rsidRPr="00716112" w:rsidRDefault="00E20CAE" w:rsidP="00E20CAE">
      <w:pPr>
        <w:spacing w:after="0"/>
        <w:rPr>
          <w:rFonts w:cstheme="minorHAnsi"/>
          <w:sz w:val="18"/>
          <w:szCs w:val="18"/>
        </w:rPr>
      </w:pPr>
      <w:r w:rsidRPr="00716112">
        <w:rPr>
          <w:rFonts w:cstheme="minorHAnsi"/>
          <w:sz w:val="18"/>
          <w:szCs w:val="18"/>
        </w:rPr>
        <w:t>INDICATIONS FOR USE:</w:t>
      </w:r>
    </w:p>
    <w:p w14:paraId="709D2434" w14:textId="77777777" w:rsidR="00E20CAE" w:rsidRPr="00716112" w:rsidRDefault="00E20CAE" w:rsidP="00E20CAE">
      <w:pPr>
        <w:spacing w:after="0"/>
        <w:rPr>
          <w:rFonts w:cstheme="minorHAnsi"/>
          <w:sz w:val="18"/>
          <w:szCs w:val="18"/>
        </w:rPr>
      </w:pPr>
      <w:r w:rsidRPr="00716112">
        <w:rPr>
          <w:rFonts w:cstheme="minorHAnsi"/>
          <w:sz w:val="18"/>
          <w:szCs w:val="18"/>
        </w:rPr>
        <w:t>The DETOUR™ System is indicated for use for percutaneous revascularization in patients with symptomatic femoropopliteal lesions from 200mm to 460mm in length with chronic total occlusions (100mm to 425mm) or diffuse stenosis &gt;70% who may be considered suboptimal candidates for surgical or alternative endovascular treatments. The DETOUR™ System, or any of its components, is not for use in the coronary and cerebral vasculature.</w:t>
      </w:r>
    </w:p>
    <w:p w14:paraId="5782DA4C" w14:textId="77777777" w:rsidR="00E20CAE" w:rsidRPr="00716112" w:rsidRDefault="00E20CAE" w:rsidP="00E20CAE">
      <w:pPr>
        <w:spacing w:after="0"/>
        <w:rPr>
          <w:rFonts w:cstheme="minorHAnsi"/>
          <w:sz w:val="18"/>
          <w:szCs w:val="18"/>
        </w:rPr>
      </w:pPr>
      <w:r w:rsidRPr="00716112">
        <w:rPr>
          <w:rFonts w:cstheme="minorHAnsi"/>
          <w:sz w:val="18"/>
          <w:szCs w:val="18"/>
        </w:rPr>
        <w:t> </w:t>
      </w:r>
    </w:p>
    <w:p w14:paraId="51FD75BE" w14:textId="77777777" w:rsidR="00E20CAE" w:rsidRPr="00716112" w:rsidRDefault="00E20CAE" w:rsidP="00E20CAE">
      <w:pPr>
        <w:spacing w:after="0"/>
        <w:rPr>
          <w:rFonts w:cstheme="minorHAnsi"/>
          <w:sz w:val="18"/>
          <w:szCs w:val="18"/>
        </w:rPr>
      </w:pPr>
      <w:r w:rsidRPr="00716112">
        <w:rPr>
          <w:rFonts w:cstheme="minorHAnsi"/>
          <w:sz w:val="18"/>
          <w:szCs w:val="18"/>
        </w:rPr>
        <w:t>CONTRAINDICATIONS:</w:t>
      </w:r>
    </w:p>
    <w:p w14:paraId="039AD597" w14:textId="77777777" w:rsidR="00E20CAE" w:rsidRPr="00716112" w:rsidRDefault="00E20CAE" w:rsidP="00E20CAE">
      <w:pPr>
        <w:spacing w:after="0"/>
        <w:rPr>
          <w:rFonts w:cstheme="minorHAnsi"/>
          <w:sz w:val="18"/>
          <w:szCs w:val="18"/>
        </w:rPr>
      </w:pPr>
      <w:r w:rsidRPr="00716112">
        <w:rPr>
          <w:rFonts w:cstheme="minorHAnsi"/>
          <w:sz w:val="18"/>
          <w:szCs w:val="18"/>
        </w:rPr>
        <w:t>The DETOUR™ System is contraindicated in patients with:</w:t>
      </w:r>
    </w:p>
    <w:p w14:paraId="6600B3FB" w14:textId="77777777" w:rsidR="00E20CAE" w:rsidRPr="00716112" w:rsidRDefault="00E20CAE" w:rsidP="00E20CAE">
      <w:pPr>
        <w:numPr>
          <w:ilvl w:val="0"/>
          <w:numId w:val="5"/>
        </w:numPr>
        <w:tabs>
          <w:tab w:val="left" w:pos="720"/>
        </w:tabs>
        <w:spacing w:after="0"/>
        <w:rPr>
          <w:rFonts w:cstheme="minorHAnsi"/>
          <w:sz w:val="18"/>
          <w:szCs w:val="18"/>
        </w:rPr>
      </w:pPr>
      <w:r w:rsidRPr="00716112">
        <w:rPr>
          <w:rFonts w:cstheme="minorHAnsi"/>
          <w:sz w:val="18"/>
          <w:szCs w:val="18"/>
        </w:rPr>
        <w:t>A distal common femoral artery (CFA) &lt;7 mm in diameter.</w:t>
      </w:r>
    </w:p>
    <w:p w14:paraId="440591E1" w14:textId="77777777" w:rsidR="00E20CAE" w:rsidRPr="00716112" w:rsidRDefault="00E20CAE" w:rsidP="00E20CAE">
      <w:pPr>
        <w:numPr>
          <w:ilvl w:val="0"/>
          <w:numId w:val="5"/>
        </w:numPr>
        <w:tabs>
          <w:tab w:val="left" w:pos="720"/>
        </w:tabs>
        <w:spacing w:after="0"/>
        <w:rPr>
          <w:rFonts w:cstheme="minorHAnsi"/>
          <w:sz w:val="18"/>
          <w:szCs w:val="18"/>
        </w:rPr>
      </w:pPr>
      <w:r w:rsidRPr="00716112">
        <w:rPr>
          <w:rFonts w:cstheme="minorHAnsi"/>
          <w:sz w:val="18"/>
          <w:szCs w:val="18"/>
        </w:rPr>
        <w:t>Increased risk of deep vein thrombosis (DVT), such as patients with a recent history of DVT, thrombophilia, and disseminated malignancy.</w:t>
      </w:r>
    </w:p>
    <w:p w14:paraId="24BA3B95" w14:textId="77777777" w:rsidR="00E20CAE" w:rsidRPr="00716112" w:rsidRDefault="00E20CAE" w:rsidP="00E20CAE">
      <w:pPr>
        <w:numPr>
          <w:ilvl w:val="0"/>
          <w:numId w:val="5"/>
        </w:numPr>
        <w:tabs>
          <w:tab w:val="left" w:pos="720"/>
        </w:tabs>
        <w:spacing w:after="0"/>
        <w:rPr>
          <w:rFonts w:cstheme="minorHAnsi"/>
          <w:sz w:val="18"/>
          <w:szCs w:val="18"/>
        </w:rPr>
      </w:pPr>
      <w:r w:rsidRPr="00716112">
        <w:rPr>
          <w:rFonts w:cstheme="minorHAnsi"/>
          <w:sz w:val="18"/>
          <w:szCs w:val="18"/>
        </w:rPr>
        <w:t>Untreated flow-limiting aortoiliac occlusive disease.</w:t>
      </w:r>
    </w:p>
    <w:p w14:paraId="178C8A9D" w14:textId="77777777" w:rsidR="00E20CAE" w:rsidRPr="00716112" w:rsidRDefault="00E20CAE" w:rsidP="00E20CAE">
      <w:pPr>
        <w:numPr>
          <w:ilvl w:val="0"/>
          <w:numId w:val="5"/>
        </w:numPr>
        <w:tabs>
          <w:tab w:val="left" w:pos="720"/>
        </w:tabs>
        <w:spacing w:after="0"/>
        <w:rPr>
          <w:rFonts w:cstheme="minorHAnsi"/>
          <w:sz w:val="18"/>
          <w:szCs w:val="18"/>
        </w:rPr>
      </w:pPr>
      <w:r w:rsidRPr="00716112">
        <w:rPr>
          <w:rFonts w:cstheme="minorHAnsi"/>
          <w:sz w:val="18"/>
          <w:szCs w:val="18"/>
        </w:rPr>
        <w:t>Lack of patent single vessel tibial runoff to ankle.</w:t>
      </w:r>
    </w:p>
    <w:p w14:paraId="05AE6774" w14:textId="77777777" w:rsidR="00E20CAE" w:rsidRPr="00716112" w:rsidRDefault="00E20CAE" w:rsidP="00E20CAE">
      <w:pPr>
        <w:numPr>
          <w:ilvl w:val="0"/>
          <w:numId w:val="5"/>
        </w:numPr>
        <w:tabs>
          <w:tab w:val="left" w:pos="720"/>
        </w:tabs>
        <w:spacing w:after="0"/>
        <w:rPr>
          <w:rFonts w:cstheme="minorHAnsi"/>
          <w:sz w:val="18"/>
          <w:szCs w:val="18"/>
        </w:rPr>
      </w:pPr>
      <w:r w:rsidRPr="00716112">
        <w:rPr>
          <w:rFonts w:cstheme="minorHAnsi"/>
          <w:sz w:val="18"/>
          <w:szCs w:val="18"/>
        </w:rPr>
        <w:t>Known coagulopathy, bleeding diathesis, or thrombocytopenia that cannot be medically managed.</w:t>
      </w:r>
    </w:p>
    <w:p w14:paraId="0EC38C62" w14:textId="77777777" w:rsidR="00E20CAE" w:rsidRPr="00716112" w:rsidRDefault="00E20CAE" w:rsidP="00E20CAE">
      <w:pPr>
        <w:numPr>
          <w:ilvl w:val="0"/>
          <w:numId w:val="5"/>
        </w:numPr>
        <w:tabs>
          <w:tab w:val="left" w:pos="720"/>
        </w:tabs>
        <w:spacing w:after="0"/>
        <w:rPr>
          <w:rFonts w:cstheme="minorHAnsi"/>
          <w:sz w:val="18"/>
          <w:szCs w:val="18"/>
        </w:rPr>
      </w:pPr>
      <w:r w:rsidRPr="00716112">
        <w:rPr>
          <w:rFonts w:cstheme="minorHAnsi"/>
          <w:sz w:val="18"/>
          <w:szCs w:val="18"/>
        </w:rPr>
        <w:t>Known hypersensitivities, allergies or contraindications to: Nitinol; PTFE; aspirin; heparin; antiplatelet; anticoagulant or thrombolytic therapy; or contrast media that cannot otherwise be medically managed.</w:t>
      </w:r>
    </w:p>
    <w:p w14:paraId="7EED4AC3" w14:textId="77777777" w:rsidR="00E20CAE" w:rsidRPr="00716112" w:rsidRDefault="00E20CAE" w:rsidP="00E20CAE">
      <w:pPr>
        <w:spacing w:after="0"/>
        <w:rPr>
          <w:rFonts w:cstheme="minorHAnsi"/>
          <w:sz w:val="18"/>
          <w:szCs w:val="18"/>
        </w:rPr>
      </w:pPr>
      <w:r w:rsidRPr="00716112">
        <w:rPr>
          <w:rFonts w:cstheme="minorHAnsi"/>
          <w:sz w:val="18"/>
          <w:szCs w:val="18"/>
        </w:rPr>
        <w:t> </w:t>
      </w:r>
    </w:p>
    <w:p w14:paraId="705A1FC3" w14:textId="77777777" w:rsidR="00E20CAE" w:rsidRPr="00716112" w:rsidRDefault="00E20CAE" w:rsidP="00E20CAE">
      <w:pPr>
        <w:spacing w:after="0"/>
        <w:rPr>
          <w:rFonts w:cstheme="minorHAnsi"/>
          <w:sz w:val="18"/>
          <w:szCs w:val="18"/>
        </w:rPr>
      </w:pPr>
      <w:r w:rsidRPr="00716112">
        <w:rPr>
          <w:rFonts w:cstheme="minorHAnsi"/>
          <w:sz w:val="18"/>
          <w:szCs w:val="18"/>
        </w:rPr>
        <w:t>Refer to Instructions for Use for more information concerning Indications, Contraindications, Specific Anatomic Considerations, Warnings, Precautions, and Adverse Events.</w:t>
      </w:r>
    </w:p>
    <w:p w14:paraId="4C815EAB" w14:textId="77777777" w:rsidR="00E20CAE" w:rsidRPr="00716112" w:rsidRDefault="00E20CAE" w:rsidP="00E20CAE">
      <w:pPr>
        <w:spacing w:after="0"/>
        <w:rPr>
          <w:rFonts w:cstheme="minorHAnsi"/>
          <w:sz w:val="18"/>
          <w:szCs w:val="18"/>
        </w:rPr>
      </w:pPr>
      <w:r w:rsidRPr="00716112">
        <w:rPr>
          <w:rFonts w:cstheme="minorHAnsi"/>
          <w:sz w:val="18"/>
          <w:szCs w:val="18"/>
        </w:rPr>
        <w:t> </w:t>
      </w:r>
    </w:p>
    <w:p w14:paraId="1A19B671" w14:textId="77777777" w:rsidR="00E20CAE" w:rsidRPr="00716112" w:rsidRDefault="00E20CAE" w:rsidP="00E20CAE">
      <w:pPr>
        <w:spacing w:after="0"/>
        <w:rPr>
          <w:rFonts w:cstheme="minorHAnsi"/>
          <w:sz w:val="18"/>
          <w:szCs w:val="18"/>
        </w:rPr>
      </w:pPr>
      <w:r w:rsidRPr="00716112">
        <w:rPr>
          <w:rFonts w:cstheme="minorHAnsi"/>
          <w:sz w:val="18"/>
          <w:szCs w:val="18"/>
        </w:rPr>
        <w:t>CAUTION: Federal (USA) law restricts this device to sale by or on the order of a physician. </w:t>
      </w:r>
    </w:p>
    <w:p w14:paraId="6778CB3D" w14:textId="77777777" w:rsidR="00E20CAE" w:rsidRPr="00716112" w:rsidRDefault="00E20CAE" w:rsidP="00E20CAE">
      <w:pPr>
        <w:spacing w:after="0"/>
        <w:rPr>
          <w:rFonts w:cstheme="minorHAnsi"/>
          <w:sz w:val="18"/>
          <w:szCs w:val="18"/>
        </w:rPr>
      </w:pPr>
      <w:r w:rsidRPr="00716112">
        <w:rPr>
          <w:rFonts w:cstheme="minorHAnsi"/>
          <w:sz w:val="18"/>
          <w:szCs w:val="18"/>
        </w:rPr>
        <w:t> </w:t>
      </w:r>
    </w:p>
    <w:p w14:paraId="2019DA39" w14:textId="77777777" w:rsidR="00E20CAE" w:rsidRPr="00716112" w:rsidRDefault="00E20CAE" w:rsidP="00E20CAE">
      <w:pPr>
        <w:spacing w:after="0"/>
        <w:rPr>
          <w:rFonts w:cstheme="minorHAnsi"/>
          <w:sz w:val="18"/>
          <w:szCs w:val="18"/>
        </w:rPr>
      </w:pPr>
      <w:r w:rsidRPr="00716112">
        <w:rPr>
          <w:rFonts w:cstheme="minorHAnsi"/>
          <w:sz w:val="18"/>
          <w:szCs w:val="18"/>
        </w:rPr>
        <w:t>NOTE: Not all product components are available in every country. Please consult with your Endologix representative to confirm product availability.</w:t>
      </w:r>
    </w:p>
    <w:p w14:paraId="1AD5883D" w14:textId="77777777" w:rsidR="00E20CAE" w:rsidRPr="00716112" w:rsidRDefault="00E20CAE" w:rsidP="00E20CAE">
      <w:pPr>
        <w:spacing w:after="0"/>
        <w:rPr>
          <w:rFonts w:cstheme="minorHAnsi"/>
          <w:sz w:val="18"/>
          <w:szCs w:val="18"/>
        </w:rPr>
      </w:pPr>
      <w:r w:rsidRPr="00716112">
        <w:rPr>
          <w:rFonts w:cstheme="minorHAnsi"/>
          <w:sz w:val="18"/>
          <w:szCs w:val="18"/>
        </w:rPr>
        <w:t> </w:t>
      </w:r>
    </w:p>
    <w:p w14:paraId="0CD8433C" w14:textId="77777777" w:rsidR="00E20CAE" w:rsidRPr="00716112" w:rsidRDefault="00E20CAE" w:rsidP="00E20CAE">
      <w:pPr>
        <w:spacing w:after="0"/>
        <w:rPr>
          <w:rFonts w:cstheme="minorHAnsi"/>
          <w:sz w:val="18"/>
          <w:szCs w:val="18"/>
        </w:rPr>
      </w:pPr>
      <w:r w:rsidRPr="00716112">
        <w:rPr>
          <w:rFonts w:cstheme="minorHAnsi"/>
          <w:sz w:val="18"/>
          <w:szCs w:val="18"/>
        </w:rPr>
        <w:t>Endologix® is a registered trademark of Endologix LLC in the United States, Europe and Japan. All other trademarks are the property of their respective owners.</w:t>
      </w:r>
    </w:p>
    <w:p w14:paraId="5F981BAD" w14:textId="77777777" w:rsidR="00E20CAE" w:rsidRPr="00716112" w:rsidRDefault="00E20CAE" w:rsidP="00E20CAE">
      <w:pPr>
        <w:spacing w:after="0"/>
        <w:rPr>
          <w:rFonts w:cstheme="minorHAnsi"/>
          <w:sz w:val="18"/>
          <w:szCs w:val="18"/>
        </w:rPr>
      </w:pPr>
      <w:r w:rsidRPr="00716112">
        <w:rPr>
          <w:rFonts w:cstheme="minorHAnsi"/>
          <w:sz w:val="18"/>
          <w:szCs w:val="18"/>
        </w:rPr>
        <w:t> </w:t>
      </w:r>
    </w:p>
    <w:p w14:paraId="696AB59B" w14:textId="62A378DF" w:rsidR="00E20CAE" w:rsidRPr="00716112" w:rsidRDefault="00E20CAE" w:rsidP="00E20CAE">
      <w:pPr>
        <w:spacing w:after="0"/>
        <w:rPr>
          <w:rFonts w:cstheme="minorHAnsi"/>
          <w:sz w:val="18"/>
          <w:szCs w:val="18"/>
        </w:rPr>
      </w:pPr>
      <w:r w:rsidRPr="00716112">
        <w:rPr>
          <w:rFonts w:cstheme="minorHAnsi"/>
          <w:sz w:val="18"/>
          <w:szCs w:val="18"/>
        </w:rPr>
        <w:t>©202</w:t>
      </w:r>
      <w:r w:rsidR="00422D24">
        <w:rPr>
          <w:rFonts w:cstheme="minorHAnsi"/>
          <w:sz w:val="18"/>
          <w:szCs w:val="18"/>
        </w:rPr>
        <w:t>5</w:t>
      </w:r>
      <w:r w:rsidRPr="00716112">
        <w:rPr>
          <w:rFonts w:cstheme="minorHAnsi"/>
          <w:sz w:val="18"/>
          <w:szCs w:val="18"/>
        </w:rPr>
        <w:t xml:space="preserve"> Endologix LLC. All rights reserved.</w:t>
      </w:r>
    </w:p>
    <w:bookmarkEnd w:id="0"/>
    <w:p w14:paraId="3DC5DB84" w14:textId="77777777" w:rsidR="00E20CAE" w:rsidRDefault="00E20CAE" w:rsidP="00E20CAE">
      <w:pPr>
        <w:spacing w:after="0"/>
        <w:rPr>
          <w:rFonts w:cstheme="minorHAnsi"/>
          <w:sz w:val="16"/>
          <w:szCs w:val="16"/>
        </w:rPr>
      </w:pPr>
    </w:p>
    <w:p w14:paraId="6A83397B" w14:textId="77777777" w:rsidR="00E20CAE" w:rsidRDefault="00E20CAE" w:rsidP="00E20CAE">
      <w:pPr>
        <w:spacing w:after="0"/>
        <w:rPr>
          <w:rFonts w:cstheme="minorHAnsi"/>
          <w:sz w:val="18"/>
          <w:szCs w:val="18"/>
        </w:rPr>
      </w:pPr>
      <w:r w:rsidRPr="003461F4">
        <w:rPr>
          <w:rFonts w:cstheme="minorHAnsi"/>
          <w:sz w:val="18"/>
          <w:szCs w:val="18"/>
        </w:rPr>
        <w:t>The reimbursement information provided below has been obtained from third party sources and is intended to be used as a general source of information only. It does not cover all possible patient care situations, payer rules, or scenarios. It is solely the provider’s responsibility to determine the proper medical products and services to be provided to individual patients, and to report the procedures and codes, if any, that most appropriately describe the products or services rendered. Endologix does not promise or guarantee coverage or payment by Medicare or any other payers by providing this information. The information does not constitute legal advice and no warranty regarding the completeness or accuracy of the information is made or implied. The information provided is subject to change without notice as reimbursement laws, regulations, rules and policies change frequently. Providers must seek advice from Medicare and/or other specific payers to obtain the most accurate, current and appropriate information related to pre-authorization, coverage, billing and reimbursement. Endologix specifically disclaims and rejects any liability or responsibility for any actions or consequences resulting from the use of this information.</w:t>
      </w:r>
    </w:p>
    <w:p w14:paraId="47411E6A" w14:textId="77777777" w:rsidR="00E20CAE" w:rsidRDefault="00E20CAE" w:rsidP="00E20CAE">
      <w:pPr>
        <w:rPr>
          <w:rFonts w:cstheme="minorHAnsi"/>
          <w:sz w:val="18"/>
          <w:szCs w:val="18"/>
        </w:rPr>
      </w:pPr>
      <w:r>
        <w:rPr>
          <w:rFonts w:cstheme="minorHAnsi"/>
          <w:sz w:val="18"/>
          <w:szCs w:val="18"/>
        </w:rPr>
        <w:br w:type="page"/>
      </w:r>
    </w:p>
    <w:p w14:paraId="2838B694" w14:textId="77777777" w:rsidR="00E20CAE" w:rsidRPr="003461F4" w:rsidRDefault="00E20CAE" w:rsidP="00E20CAE">
      <w:pPr>
        <w:spacing w:after="0"/>
        <w:rPr>
          <w:rFonts w:cstheme="minorHAnsi"/>
          <w:sz w:val="18"/>
          <w:szCs w:val="18"/>
        </w:rPr>
      </w:pPr>
    </w:p>
    <w:p w14:paraId="22C11F17" w14:textId="77777777" w:rsidR="00E20CAE" w:rsidRPr="00FB41BB" w:rsidRDefault="00E20CAE" w:rsidP="00E20CAE">
      <w:pPr>
        <w:spacing w:after="0"/>
        <w:rPr>
          <w:rFonts w:cstheme="minorHAnsi"/>
          <w:sz w:val="16"/>
          <w:szCs w:val="16"/>
        </w:rPr>
      </w:pPr>
      <w:r w:rsidRPr="00801819">
        <w:rPr>
          <w:rFonts w:cstheme="minorHAnsi"/>
        </w:rPr>
        <w:t xml:space="preserve">Date </w:t>
      </w:r>
    </w:p>
    <w:p w14:paraId="65D2683B" w14:textId="77777777" w:rsidR="00E20CAE" w:rsidRPr="00801819" w:rsidRDefault="00E20CAE" w:rsidP="00E20CAE">
      <w:pPr>
        <w:pStyle w:val="Default"/>
        <w:rPr>
          <w:rFonts w:asciiTheme="minorHAnsi" w:hAnsiTheme="minorHAnsi" w:cstheme="minorHAnsi"/>
        </w:rPr>
      </w:pPr>
      <w:r w:rsidRPr="00801819">
        <w:rPr>
          <w:rFonts w:asciiTheme="minorHAnsi" w:hAnsiTheme="minorHAnsi" w:cstheme="minorHAnsi"/>
        </w:rPr>
        <w:t xml:space="preserve">Payer  </w:t>
      </w:r>
    </w:p>
    <w:p w14:paraId="53F58616" w14:textId="77777777" w:rsidR="00E20CAE" w:rsidRPr="00801819" w:rsidRDefault="00E20CAE" w:rsidP="00E20CAE">
      <w:pPr>
        <w:pStyle w:val="Default"/>
        <w:rPr>
          <w:rFonts w:asciiTheme="minorHAnsi" w:hAnsiTheme="minorHAnsi" w:cstheme="minorHAnsi"/>
        </w:rPr>
      </w:pPr>
      <w:r w:rsidRPr="00801819">
        <w:rPr>
          <w:rFonts w:asciiTheme="minorHAnsi" w:hAnsiTheme="minorHAnsi" w:cstheme="minorHAnsi"/>
        </w:rPr>
        <w:t xml:space="preserve">Re: </w:t>
      </w:r>
      <w:r w:rsidRPr="00655543">
        <w:rPr>
          <w:rFonts w:asciiTheme="minorHAnsi" w:hAnsiTheme="minorHAnsi" w:cstheme="minorHAnsi"/>
          <w:i/>
          <w:color w:val="5B9BD5" w:themeColor="accent5"/>
        </w:rPr>
        <w:t>[Insert patient name and subscriber number]</w:t>
      </w:r>
      <w:r w:rsidRPr="00801819">
        <w:rPr>
          <w:rFonts w:asciiTheme="minorHAnsi" w:hAnsiTheme="minorHAnsi" w:cstheme="minorHAnsi"/>
        </w:rPr>
        <w:t xml:space="preserve"> </w:t>
      </w:r>
    </w:p>
    <w:p w14:paraId="0D25CDFD" w14:textId="77777777" w:rsidR="00E20CAE" w:rsidRPr="00801819" w:rsidRDefault="00E20CAE" w:rsidP="00E20CAE">
      <w:pPr>
        <w:pStyle w:val="Default"/>
        <w:rPr>
          <w:rFonts w:asciiTheme="minorHAnsi" w:hAnsiTheme="minorHAnsi" w:cstheme="minorHAnsi"/>
        </w:rPr>
      </w:pPr>
    </w:p>
    <w:p w14:paraId="7E5C2E22" w14:textId="77777777" w:rsidR="00E20CAE" w:rsidRPr="00801819" w:rsidRDefault="00E20CAE" w:rsidP="00E20CAE">
      <w:pPr>
        <w:pStyle w:val="Default"/>
        <w:spacing w:after="120"/>
        <w:rPr>
          <w:rFonts w:asciiTheme="minorHAnsi" w:hAnsiTheme="minorHAnsi" w:cstheme="minorHAnsi"/>
        </w:rPr>
      </w:pPr>
      <w:r w:rsidRPr="00801819">
        <w:rPr>
          <w:rFonts w:asciiTheme="minorHAnsi" w:hAnsiTheme="minorHAnsi" w:cstheme="minorHAnsi"/>
        </w:rPr>
        <w:t xml:space="preserve">Dear Medical Director: </w:t>
      </w:r>
    </w:p>
    <w:p w14:paraId="3162DCA4" w14:textId="1CB8084A" w:rsidR="00E20CAE" w:rsidRPr="00801819" w:rsidRDefault="00E20CAE" w:rsidP="00E20CAE">
      <w:pPr>
        <w:pStyle w:val="Default"/>
        <w:spacing w:after="120"/>
        <w:rPr>
          <w:rFonts w:asciiTheme="minorHAnsi" w:hAnsiTheme="minorHAnsi" w:cstheme="minorHAnsi"/>
        </w:rPr>
      </w:pPr>
      <w:r w:rsidRPr="00801819">
        <w:rPr>
          <w:rFonts w:asciiTheme="minorHAnsi" w:hAnsiTheme="minorHAnsi" w:cstheme="minorHAnsi"/>
        </w:rPr>
        <w:t xml:space="preserve">Please consider this request for </w:t>
      </w:r>
      <w:proofErr w:type="gramStart"/>
      <w:r w:rsidRPr="00801819">
        <w:rPr>
          <w:rFonts w:asciiTheme="minorHAnsi" w:hAnsiTheme="minorHAnsi" w:cstheme="minorHAnsi"/>
        </w:rPr>
        <w:t>authorization of</w:t>
      </w:r>
      <w:proofErr w:type="gramEnd"/>
      <w:r w:rsidRPr="00801819">
        <w:rPr>
          <w:rFonts w:asciiTheme="minorHAnsi" w:hAnsiTheme="minorHAnsi" w:cstheme="minorHAnsi"/>
        </w:rPr>
        <w:t xml:space="preserve"> benefits </w:t>
      </w:r>
      <w:proofErr w:type="gramStart"/>
      <w:r w:rsidRPr="00801819">
        <w:rPr>
          <w:rFonts w:asciiTheme="minorHAnsi" w:hAnsiTheme="minorHAnsi" w:cstheme="minorHAnsi"/>
        </w:rPr>
        <w:t>to treat</w:t>
      </w:r>
      <w:proofErr w:type="gramEnd"/>
      <w:r w:rsidRPr="00801819">
        <w:rPr>
          <w:rFonts w:asciiTheme="minorHAnsi" w:hAnsiTheme="minorHAnsi" w:cstheme="minorHAnsi"/>
        </w:rPr>
        <w:t xml:space="preserve"> my patient, </w:t>
      </w:r>
      <w:r w:rsidRPr="00B178EB">
        <w:rPr>
          <w:rFonts w:asciiTheme="minorHAnsi" w:hAnsiTheme="minorHAnsi" w:cstheme="minorHAnsi"/>
          <w:i/>
          <w:iCs/>
          <w:color w:val="5B9BD5" w:themeColor="accent5"/>
        </w:rPr>
        <w:t>[insert patient name]</w:t>
      </w:r>
      <w:r w:rsidRPr="00801819">
        <w:rPr>
          <w:rFonts w:asciiTheme="minorHAnsi" w:hAnsiTheme="minorHAnsi" w:cstheme="minorHAnsi"/>
          <w:i/>
          <w:iCs/>
        </w:rPr>
        <w:t xml:space="preserve">, </w:t>
      </w:r>
      <w:r w:rsidRPr="00801819">
        <w:rPr>
          <w:rFonts w:asciiTheme="minorHAnsi" w:hAnsiTheme="minorHAnsi" w:cstheme="minorHAnsi"/>
        </w:rPr>
        <w:t xml:space="preserve">who suffers from </w:t>
      </w:r>
      <w:r>
        <w:rPr>
          <w:rFonts w:asciiTheme="minorHAnsi" w:hAnsiTheme="minorHAnsi" w:cstheme="minorHAnsi"/>
        </w:rPr>
        <w:t>severe peripheral arterial disease</w:t>
      </w:r>
      <w:r w:rsidRPr="00801819">
        <w:rPr>
          <w:rFonts w:asciiTheme="minorHAnsi" w:hAnsiTheme="minorHAnsi" w:cstheme="minorHAnsi"/>
          <w:i/>
          <w:iCs/>
        </w:rPr>
        <w:t xml:space="preserve">. </w:t>
      </w:r>
      <w:r w:rsidRPr="00801819">
        <w:rPr>
          <w:rFonts w:asciiTheme="minorHAnsi" w:hAnsiTheme="minorHAnsi" w:cstheme="minorHAnsi"/>
        </w:rPr>
        <w:t xml:space="preserve">It is my clinical judgment that </w:t>
      </w:r>
      <w:r w:rsidRPr="00B178EB">
        <w:rPr>
          <w:rFonts w:asciiTheme="minorHAnsi" w:hAnsiTheme="minorHAnsi" w:cstheme="minorHAnsi"/>
          <w:i/>
          <w:iCs/>
          <w:color w:val="5B9BD5" w:themeColor="accent5"/>
        </w:rPr>
        <w:t xml:space="preserve">[insert patient name] </w:t>
      </w:r>
      <w:r w:rsidRPr="00801819">
        <w:rPr>
          <w:rFonts w:asciiTheme="minorHAnsi" w:hAnsiTheme="minorHAnsi" w:cstheme="minorHAnsi"/>
        </w:rPr>
        <w:t xml:space="preserve">is an ideal candidate for </w:t>
      </w:r>
      <w:r>
        <w:rPr>
          <w:rFonts w:asciiTheme="minorHAnsi" w:hAnsiTheme="minorHAnsi" w:cstheme="minorHAnsi"/>
        </w:rPr>
        <w:t>percutaneous transmural arterial bypass</w:t>
      </w:r>
      <w:r w:rsidRPr="00801819">
        <w:rPr>
          <w:rFonts w:asciiTheme="minorHAnsi" w:hAnsiTheme="minorHAnsi" w:cstheme="minorHAnsi"/>
          <w:i/>
          <w:iCs/>
        </w:rPr>
        <w:t xml:space="preserve">. </w:t>
      </w:r>
    </w:p>
    <w:p w14:paraId="38B75705" w14:textId="65FA1231" w:rsidR="00E20CAE" w:rsidRPr="00801819" w:rsidRDefault="00E20CAE" w:rsidP="00E20CAE">
      <w:pPr>
        <w:pStyle w:val="Default"/>
        <w:spacing w:after="120"/>
        <w:rPr>
          <w:rFonts w:asciiTheme="minorHAnsi" w:hAnsiTheme="minorHAnsi" w:cstheme="minorHAnsi"/>
        </w:rPr>
      </w:pPr>
      <w:r w:rsidRPr="00801819">
        <w:rPr>
          <w:rFonts w:asciiTheme="minorHAnsi" w:hAnsiTheme="minorHAnsi" w:cstheme="minorHAnsi"/>
        </w:rPr>
        <w:t xml:space="preserve">I am seeking authorization for my patient. </w:t>
      </w:r>
    </w:p>
    <w:p w14:paraId="6C9233AE" w14:textId="77777777" w:rsidR="00E20CAE" w:rsidRPr="00801819" w:rsidRDefault="00E20CAE" w:rsidP="00E20CAE">
      <w:pPr>
        <w:pStyle w:val="Default"/>
        <w:spacing w:after="120"/>
        <w:rPr>
          <w:rFonts w:asciiTheme="minorHAnsi" w:hAnsiTheme="minorHAnsi" w:cstheme="minorHAnsi"/>
        </w:rPr>
      </w:pPr>
      <w:r w:rsidRPr="00801819">
        <w:rPr>
          <w:rFonts w:asciiTheme="minorHAnsi" w:hAnsiTheme="minorHAnsi" w:cstheme="minorHAnsi"/>
          <w:b/>
          <w:bCs/>
        </w:rPr>
        <w:t xml:space="preserve">Patient History </w:t>
      </w:r>
    </w:p>
    <w:p w14:paraId="3FD58462" w14:textId="77777777" w:rsidR="00E20CAE" w:rsidRPr="00801819" w:rsidRDefault="00E20CAE" w:rsidP="00E20CAE">
      <w:pPr>
        <w:pStyle w:val="Default"/>
        <w:spacing w:after="120"/>
        <w:rPr>
          <w:rFonts w:asciiTheme="minorHAnsi" w:hAnsiTheme="minorHAnsi" w:cstheme="minorHAnsi"/>
        </w:rPr>
      </w:pPr>
      <w:r w:rsidRPr="00801819">
        <w:rPr>
          <w:rFonts w:asciiTheme="minorHAnsi" w:hAnsiTheme="minorHAnsi" w:cstheme="minorHAnsi"/>
        </w:rPr>
        <w:t xml:space="preserve">A problem-focused history and exam </w:t>
      </w:r>
      <w:proofErr w:type="gramStart"/>
      <w:r w:rsidRPr="00801819">
        <w:rPr>
          <w:rFonts w:asciiTheme="minorHAnsi" w:hAnsiTheme="minorHAnsi" w:cstheme="minorHAnsi"/>
        </w:rPr>
        <w:t>was</w:t>
      </w:r>
      <w:proofErr w:type="gramEnd"/>
      <w:r w:rsidRPr="00801819">
        <w:rPr>
          <w:rFonts w:asciiTheme="minorHAnsi" w:hAnsiTheme="minorHAnsi" w:cstheme="minorHAnsi"/>
        </w:rPr>
        <w:t xml:space="preserve"> performed</w:t>
      </w:r>
      <w:r w:rsidRPr="00801819">
        <w:rPr>
          <w:rFonts w:asciiTheme="minorHAnsi" w:hAnsiTheme="minorHAnsi" w:cstheme="minorHAnsi"/>
          <w:i/>
          <w:iCs/>
        </w:rPr>
        <w:t xml:space="preserve">. </w:t>
      </w:r>
      <w:r w:rsidRPr="00801819">
        <w:rPr>
          <w:rFonts w:asciiTheme="minorHAnsi" w:hAnsiTheme="minorHAnsi" w:cstheme="minorHAnsi"/>
        </w:rPr>
        <w:t xml:space="preserve">The findings of these test results support my request for treatment. </w:t>
      </w:r>
    </w:p>
    <w:p w14:paraId="7D448C46" w14:textId="77777777" w:rsidR="00E20CAE" w:rsidRPr="00801819" w:rsidRDefault="00E20CAE" w:rsidP="00E20CAE">
      <w:pPr>
        <w:pStyle w:val="Default"/>
        <w:numPr>
          <w:ilvl w:val="0"/>
          <w:numId w:val="1"/>
        </w:numPr>
        <w:spacing w:after="120"/>
        <w:ind w:left="720"/>
        <w:rPr>
          <w:rFonts w:asciiTheme="minorHAnsi" w:hAnsiTheme="minorHAnsi" w:cstheme="minorHAnsi"/>
          <w:i/>
          <w:iCs/>
        </w:rPr>
      </w:pPr>
      <w:r w:rsidRPr="00B178EB">
        <w:rPr>
          <w:rFonts w:asciiTheme="minorHAnsi" w:hAnsiTheme="minorHAnsi" w:cstheme="minorHAnsi"/>
          <w:i/>
          <w:iCs/>
          <w:color w:val="5B9BD5" w:themeColor="accent5"/>
        </w:rPr>
        <w:t xml:space="preserve"> [Insert patient name] </w:t>
      </w:r>
      <w:r w:rsidRPr="00801819">
        <w:rPr>
          <w:rFonts w:asciiTheme="minorHAnsi" w:hAnsiTheme="minorHAnsi" w:cstheme="minorHAnsi"/>
        </w:rPr>
        <w:t xml:space="preserve">presented to me with complaints of </w:t>
      </w:r>
      <w:r w:rsidRPr="00B178EB">
        <w:rPr>
          <w:rFonts w:asciiTheme="minorHAnsi" w:hAnsiTheme="minorHAnsi" w:cstheme="minorHAnsi"/>
          <w:i/>
          <w:iCs/>
          <w:color w:val="5B9BD5" w:themeColor="accent5"/>
        </w:rPr>
        <w:t xml:space="preserve">[insert detailed patient history with description of patient’s current condition including diagnosis, length of time problem has existed, current/ongoing complaints, and level of impairment evidenced by diagnostic tests, etc. Describe functional impairments, and how the patient’s condition has impacted </w:t>
      </w:r>
      <w:r>
        <w:rPr>
          <w:rFonts w:asciiTheme="minorHAnsi" w:hAnsiTheme="minorHAnsi" w:cstheme="minorHAnsi"/>
          <w:i/>
          <w:iCs/>
          <w:color w:val="5B9BD5" w:themeColor="accent5"/>
        </w:rPr>
        <w:t>their</w:t>
      </w:r>
      <w:r w:rsidRPr="00B178EB">
        <w:rPr>
          <w:rFonts w:asciiTheme="minorHAnsi" w:hAnsiTheme="minorHAnsi" w:cstheme="minorHAnsi"/>
          <w:i/>
          <w:iCs/>
          <w:color w:val="5B9BD5" w:themeColor="accent5"/>
        </w:rPr>
        <w:t xml:space="preserve"> activities of daily life.] </w:t>
      </w:r>
    </w:p>
    <w:p w14:paraId="49C6501E" w14:textId="77777777" w:rsidR="00E20CAE" w:rsidRPr="00801819" w:rsidRDefault="00E20CAE" w:rsidP="00E20CAE">
      <w:pPr>
        <w:pStyle w:val="Default"/>
        <w:numPr>
          <w:ilvl w:val="0"/>
          <w:numId w:val="1"/>
        </w:numPr>
        <w:spacing w:after="120"/>
        <w:ind w:left="720"/>
        <w:rPr>
          <w:rFonts w:asciiTheme="minorHAnsi" w:hAnsiTheme="minorHAnsi" w:cstheme="minorHAnsi"/>
          <w:i/>
        </w:rPr>
      </w:pPr>
      <w:r w:rsidRPr="00801819">
        <w:rPr>
          <w:rFonts w:asciiTheme="minorHAnsi" w:hAnsiTheme="minorHAnsi" w:cstheme="minorHAnsi"/>
        </w:rPr>
        <w:t xml:space="preserve">Previous treatments efforts include: </w:t>
      </w:r>
      <w:r w:rsidRPr="0010220C">
        <w:rPr>
          <w:rFonts w:asciiTheme="minorHAnsi" w:hAnsiTheme="minorHAnsi" w:cstheme="minorHAnsi"/>
          <w:i/>
          <w:iCs/>
          <w:color w:val="5B9BD5" w:themeColor="accent5"/>
        </w:rPr>
        <w:t xml:space="preserve">[indicate pharmaceutical therapy, procedures, and/or therapies attempted - include outcome of each treatment]. </w:t>
      </w:r>
      <w:r w:rsidRPr="00801819">
        <w:rPr>
          <w:rFonts w:asciiTheme="minorHAnsi" w:hAnsiTheme="minorHAnsi" w:cstheme="minorHAnsi"/>
        </w:rPr>
        <w:t xml:space="preserve">Despite these treatments and therapies, </w:t>
      </w:r>
      <w:r w:rsidRPr="0010220C">
        <w:rPr>
          <w:rFonts w:asciiTheme="minorHAnsi" w:hAnsiTheme="minorHAnsi" w:cstheme="minorHAnsi"/>
          <w:i/>
          <w:color w:val="5B9BD5" w:themeColor="accent5"/>
        </w:rPr>
        <w:t>[</w:t>
      </w:r>
      <w:r w:rsidRPr="0010220C">
        <w:rPr>
          <w:rFonts w:asciiTheme="minorHAnsi" w:hAnsiTheme="minorHAnsi" w:cstheme="minorHAnsi"/>
          <w:i/>
          <w:iCs/>
          <w:color w:val="5B9BD5" w:themeColor="accent5"/>
        </w:rPr>
        <w:t xml:space="preserve">insert patient name] </w:t>
      </w:r>
      <w:r w:rsidRPr="0010220C">
        <w:rPr>
          <w:rFonts w:asciiTheme="minorHAnsi" w:hAnsiTheme="minorHAnsi" w:cstheme="minorHAnsi"/>
          <w:i/>
          <w:color w:val="5B9BD5" w:themeColor="accent5"/>
        </w:rPr>
        <w:t xml:space="preserve">remains symptomatic </w:t>
      </w:r>
      <w:r>
        <w:rPr>
          <w:rFonts w:asciiTheme="minorHAnsi" w:hAnsiTheme="minorHAnsi" w:cstheme="minorHAnsi"/>
          <w:i/>
          <w:color w:val="5B9BD5" w:themeColor="accent5"/>
        </w:rPr>
        <w:t>with claudication</w:t>
      </w:r>
      <w:r w:rsidRPr="0010220C">
        <w:rPr>
          <w:rFonts w:asciiTheme="minorHAnsi" w:hAnsiTheme="minorHAnsi" w:cstheme="minorHAnsi"/>
          <w:i/>
          <w:color w:val="5B9BD5" w:themeColor="accent5"/>
        </w:rPr>
        <w:t xml:space="preserve"> </w:t>
      </w:r>
      <w:r w:rsidRPr="0010220C">
        <w:rPr>
          <w:rFonts w:asciiTheme="minorHAnsi" w:hAnsiTheme="minorHAnsi" w:cstheme="minorHAnsi"/>
          <w:i/>
          <w:iCs/>
          <w:color w:val="5B9BD5" w:themeColor="accent5"/>
        </w:rPr>
        <w:t>[insert specific symptoms here]</w:t>
      </w:r>
      <w:r w:rsidRPr="00801819">
        <w:rPr>
          <w:rFonts w:asciiTheme="minorHAnsi" w:hAnsiTheme="minorHAnsi" w:cstheme="minorHAnsi"/>
          <w:i/>
          <w:iCs/>
        </w:rPr>
        <w:t xml:space="preserve">. </w:t>
      </w:r>
    </w:p>
    <w:p w14:paraId="57FC5DF2" w14:textId="77777777" w:rsidR="00E20CAE" w:rsidRDefault="00E20CAE" w:rsidP="00E20CAE">
      <w:pPr>
        <w:pStyle w:val="Default"/>
        <w:spacing w:after="120"/>
        <w:rPr>
          <w:rFonts w:asciiTheme="minorHAnsi" w:hAnsiTheme="minorHAnsi" w:cstheme="minorHAnsi"/>
          <w:b/>
          <w:bCs/>
        </w:rPr>
      </w:pPr>
    </w:p>
    <w:p w14:paraId="07ACFEF5" w14:textId="77777777" w:rsidR="00E20CAE" w:rsidRPr="00801819" w:rsidRDefault="00E20CAE" w:rsidP="00E20CAE">
      <w:pPr>
        <w:pStyle w:val="Default"/>
        <w:spacing w:after="120"/>
        <w:rPr>
          <w:rFonts w:asciiTheme="minorHAnsi" w:hAnsiTheme="minorHAnsi" w:cstheme="minorHAnsi"/>
        </w:rPr>
      </w:pPr>
      <w:r w:rsidRPr="00801819">
        <w:rPr>
          <w:rFonts w:asciiTheme="minorHAnsi" w:hAnsiTheme="minorHAnsi" w:cstheme="minorHAnsi"/>
          <w:b/>
          <w:bCs/>
        </w:rPr>
        <w:t xml:space="preserve">Proposed Treatment and Clinical </w:t>
      </w:r>
      <w:r>
        <w:rPr>
          <w:rFonts w:asciiTheme="minorHAnsi" w:hAnsiTheme="minorHAnsi" w:cstheme="minorHAnsi"/>
          <w:b/>
          <w:bCs/>
        </w:rPr>
        <w:t>Evidence</w:t>
      </w:r>
    </w:p>
    <w:p w14:paraId="12BDC204" w14:textId="49A3378E" w:rsidR="00E20CAE" w:rsidRDefault="00E20CAE" w:rsidP="00E20CAE">
      <w:pPr>
        <w:pStyle w:val="Default"/>
        <w:spacing w:after="120"/>
        <w:rPr>
          <w:rFonts w:asciiTheme="minorHAnsi" w:hAnsiTheme="minorHAnsi" w:cstheme="minorHAnsi"/>
        </w:rPr>
      </w:pPr>
      <w:bookmarkStart w:id="1" w:name="_Hlk131087418"/>
      <w:r>
        <w:rPr>
          <w:rFonts w:asciiTheme="minorHAnsi" w:hAnsiTheme="minorHAnsi" w:cstheme="minorHAnsi"/>
        </w:rPr>
        <w:t>Percutaneous transmural arterial bypass (PTAB) therapy</w:t>
      </w:r>
      <w:r w:rsidRPr="00801819">
        <w:rPr>
          <w:rFonts w:asciiTheme="minorHAnsi" w:hAnsiTheme="minorHAnsi" w:cstheme="minorHAnsi"/>
        </w:rPr>
        <w:t>, delivered by</w:t>
      </w:r>
      <w:r>
        <w:rPr>
          <w:rFonts w:asciiTheme="minorHAnsi" w:hAnsiTheme="minorHAnsi" w:cstheme="minorHAnsi"/>
        </w:rPr>
        <w:t xml:space="preserve"> the</w:t>
      </w:r>
      <w:r w:rsidRPr="00801819">
        <w:rPr>
          <w:rFonts w:asciiTheme="minorHAnsi" w:hAnsiTheme="minorHAnsi" w:cstheme="minorHAnsi"/>
        </w:rPr>
        <w:t xml:space="preserve"> </w:t>
      </w:r>
      <w:r>
        <w:rPr>
          <w:rFonts w:asciiTheme="minorHAnsi" w:hAnsiTheme="minorHAnsi" w:cstheme="minorHAnsi"/>
        </w:rPr>
        <w:t>Endologix</w:t>
      </w:r>
      <w:r w:rsidRPr="00801819">
        <w:rPr>
          <w:rFonts w:asciiTheme="minorHAnsi" w:hAnsiTheme="minorHAnsi" w:cstheme="minorHAnsi"/>
        </w:rPr>
        <w:t xml:space="preserve"> </w:t>
      </w:r>
      <w:r>
        <w:rPr>
          <w:rFonts w:asciiTheme="minorHAnsi" w:hAnsiTheme="minorHAnsi" w:cstheme="minorHAnsi"/>
          <w:smallCaps/>
        </w:rPr>
        <w:t xml:space="preserve">DETOUR </w:t>
      </w:r>
      <w:r>
        <w:rPr>
          <w:rFonts w:asciiTheme="minorHAnsi" w:hAnsiTheme="minorHAnsi" w:cstheme="minorHAnsi"/>
        </w:rPr>
        <w:t xml:space="preserve">System </w:t>
      </w:r>
      <w:bookmarkEnd w:id="1"/>
      <w:r>
        <w:rPr>
          <w:rFonts w:asciiTheme="minorHAnsi" w:hAnsiTheme="minorHAnsi" w:cstheme="minorHAnsi"/>
        </w:rPr>
        <w:t xml:space="preserve">is a percutaneous femoral-popliteal bypass for patients with severe peripheral arterial disease.  It uses </w:t>
      </w:r>
      <w:bookmarkStart w:id="2" w:name="_Hlk131087449"/>
      <w:r>
        <w:rPr>
          <w:rFonts w:asciiTheme="minorHAnsi" w:hAnsiTheme="minorHAnsi" w:cstheme="minorHAnsi"/>
        </w:rPr>
        <w:t>the ENDOCROSS Device and TORUS Stent Grafts to bypass long femoropopliteal lesions, placing the stent grafts from the femoral artery into the femoral vein, and returning to the popliteal artery</w:t>
      </w:r>
      <w:bookmarkEnd w:id="2"/>
      <w:r>
        <w:rPr>
          <w:rFonts w:asciiTheme="minorHAnsi" w:hAnsiTheme="minorHAnsi" w:cstheme="minorHAnsi"/>
        </w:rPr>
        <w:t xml:space="preserve">.  </w:t>
      </w:r>
      <w:r w:rsidRPr="00FB3D8A">
        <w:rPr>
          <w:rFonts w:asciiTheme="minorHAnsi" w:hAnsiTheme="minorHAnsi" w:cstheme="minorHAnsi"/>
        </w:rPr>
        <w:t xml:space="preserve">The </w:t>
      </w:r>
      <w:r w:rsidRPr="00317E35">
        <w:rPr>
          <w:rFonts w:asciiTheme="minorHAnsi" w:hAnsiTheme="minorHAnsi" w:cstheme="minorHAnsi"/>
        </w:rPr>
        <w:t xml:space="preserve">DETOUR </w:t>
      </w:r>
      <w:r>
        <w:rPr>
          <w:rFonts w:asciiTheme="minorHAnsi" w:hAnsiTheme="minorHAnsi" w:cstheme="minorHAnsi"/>
        </w:rPr>
        <w:t>System</w:t>
      </w:r>
      <w:r w:rsidRPr="00FB3D8A">
        <w:rPr>
          <w:rFonts w:asciiTheme="minorHAnsi" w:hAnsiTheme="minorHAnsi" w:cstheme="minorHAnsi"/>
        </w:rPr>
        <w:t xml:space="preserve"> </w:t>
      </w:r>
      <w:bookmarkStart w:id="3" w:name="_Hlk131087671"/>
      <w:r w:rsidRPr="00FB3D8A">
        <w:rPr>
          <w:rFonts w:asciiTheme="minorHAnsi" w:hAnsiTheme="minorHAnsi" w:cstheme="minorHAnsi"/>
        </w:rPr>
        <w:t xml:space="preserve">is </w:t>
      </w:r>
      <w:r w:rsidRPr="00317E35">
        <w:rPr>
          <w:rFonts w:asciiTheme="minorHAnsi" w:hAnsiTheme="minorHAnsi" w:cstheme="minorHAnsi"/>
        </w:rPr>
        <w:t xml:space="preserve">for percutaneous revascularization in patients with symptomatic femoropopliteal lesions from 200 mm to 460 mm in length in patients with chronic total occlusions (100 mm to 425 mm) or diffuse stenosis &gt;70% who may be considered suboptimal candidates for surgical or alternative endovascular treatments. The DETOUR System, or any of its components, is not for use in the coronary and cerebral vasculature. </w:t>
      </w:r>
      <w:bookmarkEnd w:id="3"/>
      <w:r>
        <w:rPr>
          <w:rFonts w:asciiTheme="minorHAnsi" w:hAnsiTheme="minorHAnsi" w:cstheme="minorHAnsi"/>
        </w:rPr>
        <w:t xml:space="preserve">  </w:t>
      </w:r>
      <w:bookmarkStart w:id="4" w:name="_Hlk131087631"/>
      <w:r>
        <w:rPr>
          <w:rFonts w:asciiTheme="minorHAnsi" w:hAnsiTheme="minorHAnsi" w:cstheme="minorHAnsi"/>
        </w:rPr>
        <w:t xml:space="preserve">The </w:t>
      </w:r>
      <w:r w:rsidRPr="00317E35">
        <w:rPr>
          <w:rFonts w:asciiTheme="minorHAnsi" w:hAnsiTheme="minorHAnsi" w:cstheme="minorHAnsi"/>
        </w:rPr>
        <w:t xml:space="preserve">DETOUR </w:t>
      </w:r>
      <w:r>
        <w:rPr>
          <w:rFonts w:asciiTheme="minorHAnsi" w:hAnsiTheme="minorHAnsi" w:cstheme="minorHAnsi"/>
        </w:rPr>
        <w:t xml:space="preserve">System was approved by FDA </w:t>
      </w:r>
      <w:r w:rsidR="001F098E">
        <w:rPr>
          <w:rFonts w:asciiTheme="minorHAnsi" w:hAnsiTheme="minorHAnsi" w:cstheme="minorHAnsi"/>
        </w:rPr>
        <w:t>o</w:t>
      </w:r>
      <w:r>
        <w:rPr>
          <w:rFonts w:asciiTheme="minorHAnsi" w:hAnsiTheme="minorHAnsi" w:cstheme="minorHAnsi"/>
        </w:rPr>
        <w:t>n 07 June 2023</w:t>
      </w:r>
      <w:bookmarkEnd w:id="4"/>
      <w:r>
        <w:rPr>
          <w:rFonts w:asciiTheme="minorHAnsi" w:hAnsiTheme="minorHAnsi" w:cstheme="minorHAnsi"/>
        </w:rPr>
        <w:t xml:space="preserve"> </w:t>
      </w:r>
      <w:r w:rsidRPr="005B6117">
        <w:rPr>
          <w:rFonts w:asciiTheme="minorHAnsi" w:hAnsiTheme="minorHAnsi" w:cstheme="minorHAnsi"/>
        </w:rPr>
        <w:t>(P210022).</w:t>
      </w:r>
      <w:r>
        <w:rPr>
          <w:rFonts w:asciiTheme="minorHAnsi" w:hAnsiTheme="minorHAnsi" w:cstheme="minorHAnsi"/>
        </w:rPr>
        <w:t xml:space="preserve"> </w:t>
      </w:r>
    </w:p>
    <w:p w14:paraId="14C8D219" w14:textId="77777777" w:rsidR="00E20CAE" w:rsidRDefault="00E20CAE" w:rsidP="00E20CAE">
      <w:pPr>
        <w:pStyle w:val="Default"/>
        <w:spacing w:after="120"/>
        <w:rPr>
          <w:rFonts w:asciiTheme="minorHAnsi" w:hAnsiTheme="minorHAnsi" w:cstheme="minorHAnsi"/>
        </w:rPr>
      </w:pPr>
      <w:r>
        <w:rPr>
          <w:rFonts w:asciiTheme="minorHAnsi" w:hAnsiTheme="minorHAnsi" w:cstheme="minorHAnsi"/>
        </w:rPr>
        <w:t>DETOUR1 Study – Clinical Summary</w:t>
      </w:r>
    </w:p>
    <w:p w14:paraId="7730B6DC" w14:textId="3BEBFF39" w:rsidR="00E20CAE" w:rsidRDefault="00E20CAE" w:rsidP="00E20CAE">
      <w:pPr>
        <w:pStyle w:val="Default"/>
        <w:spacing w:after="120"/>
        <w:rPr>
          <w:rFonts w:asciiTheme="minorHAnsi" w:hAnsiTheme="minorHAnsi" w:cstheme="minorHAnsi"/>
        </w:rPr>
      </w:pPr>
      <w:r>
        <w:rPr>
          <w:rFonts w:asciiTheme="minorHAnsi" w:hAnsiTheme="minorHAnsi" w:cstheme="minorHAnsi"/>
        </w:rPr>
        <w:t xml:space="preserve">DETOUR1 Study is a prospective, single-arm, multi-center, international, pre-market clinical performance investigation </w:t>
      </w:r>
      <w:r w:rsidRPr="003D34A9">
        <w:rPr>
          <w:rFonts w:asciiTheme="minorHAnsi" w:hAnsiTheme="minorHAnsi" w:cstheme="minorHAnsi"/>
        </w:rPr>
        <w:t>evaluating the safety and performance of the PQ Bypass System</w:t>
      </w:r>
      <w:r>
        <w:rPr>
          <w:rFonts w:asciiTheme="minorHAnsi" w:hAnsiTheme="minorHAnsi" w:cstheme="minorHAnsi"/>
        </w:rPr>
        <w:t xml:space="preserve"> (renamed the DETOUR System)</w:t>
      </w:r>
      <w:r w:rsidRPr="003D34A9">
        <w:rPr>
          <w:rFonts w:asciiTheme="minorHAnsi" w:hAnsiTheme="minorHAnsi" w:cstheme="minorHAnsi"/>
        </w:rPr>
        <w:t xml:space="preserve"> to access, deliver guidewires and implant stent grafts for a percutaneous femoropopliteal (fem-pop) bypass.</w:t>
      </w:r>
      <w:r>
        <w:rPr>
          <w:rFonts w:asciiTheme="minorHAnsi" w:hAnsiTheme="minorHAnsi" w:cstheme="minorHAnsi"/>
        </w:rPr>
        <w:t xml:space="preserve">  There were 78 </w:t>
      </w:r>
      <w:r w:rsidRPr="00B41153">
        <w:rPr>
          <w:rFonts w:asciiTheme="minorHAnsi" w:hAnsiTheme="minorHAnsi" w:cstheme="minorHAnsi"/>
        </w:rPr>
        <w:t>subjects enrolled in</w:t>
      </w:r>
      <w:r>
        <w:rPr>
          <w:rFonts w:asciiTheme="minorHAnsi" w:hAnsiTheme="minorHAnsi" w:cstheme="minorHAnsi"/>
        </w:rPr>
        <w:t xml:space="preserve"> 8 </w:t>
      </w:r>
      <w:r w:rsidRPr="00B41153">
        <w:rPr>
          <w:rFonts w:asciiTheme="minorHAnsi" w:hAnsiTheme="minorHAnsi" w:cstheme="minorHAnsi"/>
        </w:rPr>
        <w:lastRenderedPageBreak/>
        <w:t xml:space="preserve">international </w:t>
      </w:r>
      <w:r>
        <w:rPr>
          <w:rFonts w:asciiTheme="minorHAnsi" w:hAnsiTheme="minorHAnsi" w:cstheme="minorHAnsi"/>
        </w:rPr>
        <w:t>(non-US) sites who had atherosclerotic lesions of the native superficial femoral artery (SFA) or the superficial femoral or proximal popliteal arteries</w:t>
      </w:r>
      <w:r w:rsidRPr="00ED2C9F">
        <w:rPr>
          <w:rFonts w:asciiTheme="minorHAnsi" w:hAnsiTheme="minorHAnsi" w:cstheme="minorHAnsi"/>
        </w:rPr>
        <w:t xml:space="preserve"> </w:t>
      </w:r>
      <w:r>
        <w:rPr>
          <w:rFonts w:asciiTheme="minorHAnsi" w:hAnsiTheme="minorHAnsi" w:cstheme="minorHAnsi"/>
        </w:rPr>
        <w:t>over 200mm.  The primary safety endpoint is freedom from a major adverse event (MAE) at 1-month post-procedure defined as:</w:t>
      </w:r>
      <w:r w:rsidRPr="00ED2C9F">
        <w:t xml:space="preserve"> </w:t>
      </w:r>
      <w:r w:rsidRPr="00ED2C9F">
        <w:rPr>
          <w:rFonts w:asciiTheme="minorHAnsi" w:hAnsiTheme="minorHAnsi" w:cstheme="minorHAnsi"/>
        </w:rPr>
        <w:t>composite endpoint of</w:t>
      </w:r>
      <w:r>
        <w:rPr>
          <w:rFonts w:asciiTheme="minorHAnsi" w:hAnsiTheme="minorHAnsi" w:cstheme="minorHAnsi"/>
        </w:rPr>
        <w:t xml:space="preserve"> death, target vessel revascularization (TVR), or Target Limb Amputation.  The primary performance endpoint is p</w:t>
      </w:r>
      <w:r w:rsidRPr="00344042">
        <w:rPr>
          <w:rFonts w:asciiTheme="minorHAnsi" w:hAnsiTheme="minorHAnsi" w:cstheme="minorHAnsi"/>
        </w:rPr>
        <w:t xml:space="preserve">rimary </w:t>
      </w:r>
      <w:r>
        <w:rPr>
          <w:rFonts w:asciiTheme="minorHAnsi" w:hAnsiTheme="minorHAnsi" w:cstheme="minorHAnsi"/>
        </w:rPr>
        <w:t>p</w:t>
      </w:r>
      <w:r w:rsidRPr="00344042">
        <w:rPr>
          <w:rFonts w:asciiTheme="minorHAnsi" w:hAnsiTheme="minorHAnsi" w:cstheme="minorHAnsi"/>
        </w:rPr>
        <w:t>atency at 6 month</w:t>
      </w:r>
      <w:r>
        <w:rPr>
          <w:rFonts w:asciiTheme="minorHAnsi" w:hAnsiTheme="minorHAnsi" w:cstheme="minorHAnsi"/>
        </w:rPr>
        <w:t>s</w:t>
      </w:r>
      <w:r w:rsidRPr="00344042">
        <w:rPr>
          <w:rFonts w:asciiTheme="minorHAnsi" w:hAnsiTheme="minorHAnsi" w:cstheme="minorHAnsi"/>
        </w:rPr>
        <w:t>, defined as no evidence of clinically significant stenosis (≥50%) within the stent graft or immediately above or below the treated arterial segment based on duplex ultrasound (</w:t>
      </w:r>
      <w:r>
        <w:rPr>
          <w:rFonts w:asciiTheme="minorHAnsi" w:hAnsiTheme="minorHAnsi" w:cstheme="minorHAnsi"/>
        </w:rPr>
        <w:t>PSVR</w:t>
      </w:r>
      <w:r w:rsidRPr="00344042">
        <w:rPr>
          <w:rFonts w:asciiTheme="minorHAnsi" w:hAnsiTheme="minorHAnsi" w:cstheme="minorHAnsi"/>
        </w:rPr>
        <w:t xml:space="preserve"> of &gt;2.5), with no clinically driven re-intervention within the stented segment.</w:t>
      </w:r>
      <w:r>
        <w:rPr>
          <w:rFonts w:asciiTheme="minorHAnsi" w:hAnsiTheme="minorHAnsi" w:cstheme="minorHAnsi"/>
        </w:rPr>
        <w:t xml:space="preserve">  The study duration extended through 3 years.</w:t>
      </w:r>
    </w:p>
    <w:p w14:paraId="22E41574" w14:textId="77777777" w:rsidR="00E20CAE" w:rsidRDefault="00E20CAE" w:rsidP="00E20CAE">
      <w:pPr>
        <w:pStyle w:val="Default"/>
        <w:spacing w:after="120"/>
        <w:rPr>
          <w:rFonts w:asciiTheme="minorHAnsi" w:hAnsiTheme="minorHAnsi" w:cstheme="minorHAnsi"/>
        </w:rPr>
      </w:pPr>
      <w:r w:rsidRPr="00F26044">
        <w:rPr>
          <w:rFonts w:asciiTheme="minorHAnsi" w:hAnsiTheme="minorHAnsi" w:cstheme="minorHAnsi"/>
        </w:rPr>
        <w:t xml:space="preserve">The average </w:t>
      </w:r>
      <w:r>
        <w:rPr>
          <w:rFonts w:asciiTheme="minorHAnsi" w:hAnsiTheme="minorHAnsi" w:cstheme="minorHAnsi"/>
        </w:rPr>
        <w:t xml:space="preserve">imaging </w:t>
      </w:r>
      <w:r w:rsidRPr="00F26044">
        <w:rPr>
          <w:rFonts w:asciiTheme="minorHAnsi" w:hAnsiTheme="minorHAnsi" w:cstheme="minorHAnsi"/>
        </w:rPr>
        <w:t xml:space="preserve">core laboratory-measured lesion length was 371 ± 55 mm; 79 of 82 lesions (96%) were chronic total occlusions, and 55 of 82 lesions (67%) had severe calcification. The rates of technical success measured during the index procedure </w:t>
      </w:r>
      <w:proofErr w:type="gramStart"/>
      <w:r>
        <w:rPr>
          <w:rFonts w:asciiTheme="minorHAnsi" w:hAnsiTheme="minorHAnsi" w:cstheme="minorHAnsi"/>
        </w:rPr>
        <w:t>was</w:t>
      </w:r>
      <w:proofErr w:type="gramEnd"/>
      <w:r w:rsidRPr="00F26044">
        <w:rPr>
          <w:rFonts w:asciiTheme="minorHAnsi" w:hAnsiTheme="minorHAnsi" w:cstheme="minorHAnsi"/>
        </w:rPr>
        <w:t xml:space="preserve"> 96%</w:t>
      </w:r>
      <w:r>
        <w:rPr>
          <w:rFonts w:asciiTheme="minorHAnsi" w:hAnsiTheme="minorHAnsi" w:cstheme="minorHAnsi"/>
        </w:rPr>
        <w:t xml:space="preserve"> (79/82)</w:t>
      </w:r>
      <w:r w:rsidRPr="00F26044">
        <w:rPr>
          <w:rFonts w:asciiTheme="minorHAnsi" w:hAnsiTheme="minorHAnsi" w:cstheme="minorHAnsi"/>
        </w:rPr>
        <w:t xml:space="preserve">, with satisfactory delivery and deployment of the device. </w:t>
      </w:r>
      <w:r>
        <w:rPr>
          <w:rFonts w:asciiTheme="minorHAnsi" w:hAnsiTheme="minorHAnsi" w:cstheme="minorHAnsi"/>
        </w:rPr>
        <w:t xml:space="preserve">Procedural success, defined as technical success without MAE through the conclusion of the procedure was also </w:t>
      </w:r>
      <w:r w:rsidRPr="00F26044">
        <w:rPr>
          <w:rFonts w:asciiTheme="minorHAnsi" w:hAnsiTheme="minorHAnsi" w:cstheme="minorHAnsi"/>
        </w:rPr>
        <w:t>96%</w:t>
      </w:r>
      <w:r>
        <w:rPr>
          <w:rFonts w:asciiTheme="minorHAnsi" w:hAnsiTheme="minorHAnsi" w:cstheme="minorHAnsi"/>
        </w:rPr>
        <w:t xml:space="preserve"> (79/82). </w:t>
      </w:r>
      <w:proofErr w:type="gramStart"/>
      <w:r w:rsidRPr="00F26044">
        <w:rPr>
          <w:rFonts w:asciiTheme="minorHAnsi" w:hAnsiTheme="minorHAnsi" w:cstheme="minorHAnsi"/>
        </w:rPr>
        <w:t>Through</w:t>
      </w:r>
      <w:proofErr w:type="gramEnd"/>
      <w:r w:rsidRPr="00F26044">
        <w:rPr>
          <w:rFonts w:asciiTheme="minorHAnsi" w:hAnsiTheme="minorHAnsi" w:cstheme="minorHAnsi"/>
        </w:rPr>
        <w:t xml:space="preserve"> 1 month, there were no deaths or amputations; CD-TVRs occurred in 2 of 81 limbs (3%), and freedom from MAEs was 98% (79/81). The 1-year Kaplan-Meier primary, assisted primary, and secondary patency rates were 81% ± 4%, 82% ± 4%, and 90% ± 3%, respectively. Through 1 year, the Kaplan-Meier estimates of freedom from stent graft thrombosis, CD-TVR, and MAE were 84% ± 4%, 85% ± 4%, and 84% ± 4%, respectively. At 1 year, the Rutherford </w:t>
      </w:r>
      <w:r>
        <w:rPr>
          <w:rFonts w:asciiTheme="minorHAnsi" w:hAnsiTheme="minorHAnsi" w:cstheme="minorHAnsi"/>
        </w:rPr>
        <w:t>Category</w:t>
      </w:r>
      <w:r w:rsidRPr="00F26044">
        <w:rPr>
          <w:rFonts w:asciiTheme="minorHAnsi" w:hAnsiTheme="minorHAnsi" w:cstheme="minorHAnsi"/>
        </w:rPr>
        <w:t xml:space="preserve"> improved in 77 of 80 limbs (96%), and 65 of 80 (81%) were asymptomatic. Deep venous thrombosis developed in 2 of 79 target limbs (3%) through 1 year, both at the femoropopliteal vein level. There </w:t>
      </w:r>
      <w:r>
        <w:rPr>
          <w:rFonts w:asciiTheme="minorHAnsi" w:hAnsiTheme="minorHAnsi" w:cstheme="minorHAnsi"/>
        </w:rPr>
        <w:t xml:space="preserve">were no </w:t>
      </w:r>
      <w:r w:rsidRPr="00F26044">
        <w:rPr>
          <w:rFonts w:asciiTheme="minorHAnsi" w:hAnsiTheme="minorHAnsi" w:cstheme="minorHAnsi"/>
        </w:rPr>
        <w:t>pulmonary embolism</w:t>
      </w:r>
      <w:r>
        <w:rPr>
          <w:rFonts w:asciiTheme="minorHAnsi" w:hAnsiTheme="minorHAnsi" w:cstheme="minorHAnsi"/>
        </w:rPr>
        <w:t xml:space="preserve"> events</w:t>
      </w:r>
      <w:r w:rsidRPr="00F26044">
        <w:rPr>
          <w:rFonts w:asciiTheme="minorHAnsi" w:hAnsiTheme="minorHAnsi" w:cstheme="minorHAnsi"/>
        </w:rPr>
        <w:t>.</w:t>
      </w:r>
    </w:p>
    <w:p w14:paraId="2317BC9D" w14:textId="77777777" w:rsidR="00E20CAE" w:rsidRDefault="00E20CAE" w:rsidP="00E20CAE">
      <w:pPr>
        <w:pStyle w:val="Default"/>
        <w:spacing w:after="120"/>
        <w:rPr>
          <w:rFonts w:asciiTheme="minorHAnsi" w:hAnsiTheme="minorHAnsi" w:cstheme="minorHAnsi"/>
        </w:rPr>
      </w:pPr>
    </w:p>
    <w:p w14:paraId="60AB92B9" w14:textId="77777777" w:rsidR="00E20CAE" w:rsidRDefault="00E20CAE" w:rsidP="00E20CAE">
      <w:pPr>
        <w:pStyle w:val="Default"/>
        <w:spacing w:after="120"/>
        <w:rPr>
          <w:rFonts w:asciiTheme="minorHAnsi" w:hAnsiTheme="minorHAnsi" w:cstheme="minorHAnsi"/>
        </w:rPr>
      </w:pPr>
      <w:r>
        <w:rPr>
          <w:rFonts w:asciiTheme="minorHAnsi" w:hAnsiTheme="minorHAnsi" w:cstheme="minorHAnsi"/>
        </w:rPr>
        <w:t>DETOUR2 Study – Clinical Summary</w:t>
      </w:r>
    </w:p>
    <w:p w14:paraId="3128AC2F" w14:textId="46FDF67B" w:rsidR="00E20CAE" w:rsidRDefault="00E20CAE" w:rsidP="00E20CAE">
      <w:pPr>
        <w:pStyle w:val="Default"/>
        <w:spacing w:after="120"/>
        <w:rPr>
          <w:rFonts w:asciiTheme="minorHAnsi" w:hAnsiTheme="minorHAnsi" w:cstheme="minorHAnsi"/>
        </w:rPr>
      </w:pPr>
      <w:r>
        <w:rPr>
          <w:rFonts w:asciiTheme="minorHAnsi" w:hAnsiTheme="minorHAnsi" w:cstheme="minorHAnsi"/>
        </w:rPr>
        <w:t>DETOUR2 Study is prospective, single-arm, multi-center, international clinical investigation to evaluate the safety and effectiveness of the DETOUR System to access, deliver guidewires, and implant stent grafts for a percutaneous femoropopliteal (fem-pop) bypass.  It was conducted under an IDE (Investigat</w:t>
      </w:r>
      <w:r w:rsidR="00FC1184">
        <w:rPr>
          <w:rFonts w:asciiTheme="minorHAnsi" w:hAnsiTheme="minorHAnsi" w:cstheme="minorHAnsi"/>
        </w:rPr>
        <w:t>i</w:t>
      </w:r>
      <w:r>
        <w:rPr>
          <w:rFonts w:asciiTheme="minorHAnsi" w:hAnsiTheme="minorHAnsi" w:cstheme="minorHAnsi"/>
        </w:rPr>
        <w:t>onal Device Exemption) with the US FDA.  There were 202 subjects enrolled, with greater than 50% in the US, who had atherosclerotic lesions of the native superficial femoral artery (SFA) or the superficial femoral or proximal popliteal arteries.  The primary effectiveness endpoint is the absence of clinically driven target lesion revascularization and absence of recurrent target lesion diameter stenosis &gt;50% through 1 year.  The primary safety endpoint is freedom from a major adverse event (MAE) at 30 days post-procedure defined as any occurrence of the following events: Death, Clinically Driven Target Lesion Revascularization (CD-TLR), Amputation of the Treated Limb, Symptomatic Deep Vein Thrombosis (DVT), Pulmonary Embolism, or procedure-related requiring any transfusion of packed red blood cells or surgery.  The study duration is three years.</w:t>
      </w:r>
    </w:p>
    <w:p w14:paraId="00624CE9" w14:textId="2400E087" w:rsidR="00E20CAE" w:rsidRDefault="00E20CAE" w:rsidP="00E20CAE">
      <w:pPr>
        <w:pStyle w:val="Default"/>
        <w:spacing w:after="120"/>
        <w:rPr>
          <w:rFonts w:asciiTheme="minorHAnsi" w:hAnsiTheme="minorHAnsi" w:cstheme="minorHAnsi"/>
        </w:rPr>
      </w:pPr>
      <w:r w:rsidRPr="00B971D8">
        <w:rPr>
          <w:rFonts w:asciiTheme="minorHAnsi" w:hAnsiTheme="minorHAnsi" w:cstheme="minorHAnsi"/>
        </w:rPr>
        <w:t xml:space="preserve">202 patients were enrolled at 32 sites and 200 treated with the DETOUR System. The mean SFA lesion length was 32.7cm, of which 96% were CTO and 70% were severely calcified. </w:t>
      </w:r>
      <w:r>
        <w:rPr>
          <w:rFonts w:asciiTheme="minorHAnsi" w:hAnsiTheme="minorHAnsi" w:cstheme="minorHAnsi"/>
        </w:rPr>
        <w:t>Technical</w:t>
      </w:r>
      <w:r w:rsidRPr="00B971D8">
        <w:rPr>
          <w:rFonts w:asciiTheme="minorHAnsi" w:hAnsiTheme="minorHAnsi" w:cstheme="minorHAnsi"/>
        </w:rPr>
        <w:t xml:space="preserve"> success was achieved in 100% of </w:t>
      </w:r>
      <w:proofErr w:type="gramStart"/>
      <w:r w:rsidRPr="00B971D8">
        <w:rPr>
          <w:rFonts w:asciiTheme="minorHAnsi" w:hAnsiTheme="minorHAnsi" w:cstheme="minorHAnsi"/>
        </w:rPr>
        <w:t>treated patients</w:t>
      </w:r>
      <w:proofErr w:type="gramEnd"/>
      <w:r w:rsidRPr="00B971D8">
        <w:rPr>
          <w:rFonts w:asciiTheme="minorHAnsi" w:hAnsiTheme="minorHAnsi" w:cstheme="minorHAnsi"/>
        </w:rPr>
        <w:t xml:space="preserve">. The primary safety endpoint was met with a 30-day freedom from MAE rate of 93.0%. The 1-year effectiveness endpoint was similarly met, with </w:t>
      </w:r>
      <w:r w:rsidR="00FC7074" w:rsidRPr="00B971D8">
        <w:rPr>
          <w:rFonts w:asciiTheme="minorHAnsi" w:hAnsiTheme="minorHAnsi" w:cstheme="minorHAnsi"/>
        </w:rPr>
        <w:t>72.1% primary patency at 12 months</w:t>
      </w:r>
      <w:r w:rsidR="00FC7074">
        <w:rPr>
          <w:rFonts w:asciiTheme="minorHAnsi" w:hAnsiTheme="minorHAnsi" w:cstheme="minorHAnsi"/>
        </w:rPr>
        <w:t xml:space="preserve"> and 58.2</w:t>
      </w:r>
      <w:r w:rsidRPr="00B971D8">
        <w:rPr>
          <w:rFonts w:asciiTheme="minorHAnsi" w:hAnsiTheme="minorHAnsi" w:cstheme="minorHAnsi"/>
        </w:rPr>
        <w:t xml:space="preserve">% primary patency at </w:t>
      </w:r>
      <w:r w:rsidR="00FC7074">
        <w:rPr>
          <w:rFonts w:asciiTheme="minorHAnsi" w:hAnsiTheme="minorHAnsi" w:cstheme="minorHAnsi"/>
        </w:rPr>
        <w:t xml:space="preserve">three years (compared </w:t>
      </w:r>
      <w:r w:rsidR="00FC7074">
        <w:rPr>
          <w:rFonts w:asciiTheme="minorHAnsi" w:hAnsiTheme="minorHAnsi" w:cstheme="minorHAnsi"/>
        </w:rPr>
        <w:lastRenderedPageBreak/>
        <w:t>to open bypass non-autologous graft at 46%)</w:t>
      </w:r>
      <w:r w:rsidRPr="00B971D8">
        <w:rPr>
          <w:rFonts w:asciiTheme="minorHAnsi" w:hAnsiTheme="minorHAnsi" w:cstheme="minorHAnsi"/>
        </w:rPr>
        <w:t xml:space="preserve">.  Primary assisted and secondary patency were 77.7% and 89% respectively </w:t>
      </w:r>
      <w:proofErr w:type="gramStart"/>
      <w:r w:rsidRPr="00B971D8">
        <w:rPr>
          <w:rFonts w:asciiTheme="minorHAnsi" w:hAnsiTheme="minorHAnsi" w:cstheme="minorHAnsi"/>
        </w:rPr>
        <w:t>at</w:t>
      </w:r>
      <w:proofErr w:type="gramEnd"/>
      <w:r w:rsidRPr="00B971D8">
        <w:rPr>
          <w:rFonts w:asciiTheme="minorHAnsi" w:hAnsiTheme="minorHAnsi" w:cstheme="minorHAnsi"/>
        </w:rPr>
        <w:t xml:space="preserve"> 12 months.  </w:t>
      </w:r>
      <w:r>
        <w:rPr>
          <w:rFonts w:asciiTheme="minorHAnsi" w:hAnsiTheme="minorHAnsi" w:cstheme="minorHAnsi"/>
        </w:rPr>
        <w:t xml:space="preserve">Symptomatic </w:t>
      </w:r>
      <w:r w:rsidRPr="00B971D8">
        <w:rPr>
          <w:rFonts w:asciiTheme="minorHAnsi" w:hAnsiTheme="minorHAnsi" w:cstheme="minorHAnsi"/>
        </w:rPr>
        <w:t>DVT incidence was 4.</w:t>
      </w:r>
      <w:r>
        <w:rPr>
          <w:rFonts w:asciiTheme="minorHAnsi" w:hAnsiTheme="minorHAnsi" w:cstheme="minorHAnsi"/>
        </w:rPr>
        <w:t>1</w:t>
      </w:r>
      <w:r w:rsidRPr="00B971D8">
        <w:rPr>
          <w:rFonts w:asciiTheme="minorHAnsi" w:hAnsiTheme="minorHAnsi" w:cstheme="minorHAnsi"/>
        </w:rPr>
        <w:t xml:space="preserve">% </w:t>
      </w:r>
      <w:r>
        <w:rPr>
          <w:rFonts w:asciiTheme="minorHAnsi" w:hAnsiTheme="minorHAnsi" w:cstheme="minorHAnsi"/>
        </w:rPr>
        <w:t xml:space="preserve">at </w:t>
      </w:r>
      <w:r w:rsidR="00FC7074">
        <w:rPr>
          <w:rFonts w:asciiTheme="minorHAnsi" w:hAnsiTheme="minorHAnsi" w:cstheme="minorHAnsi"/>
        </w:rPr>
        <w:t>three years</w:t>
      </w:r>
      <w:r>
        <w:rPr>
          <w:rFonts w:asciiTheme="minorHAnsi" w:hAnsiTheme="minorHAnsi" w:cstheme="minorHAnsi"/>
        </w:rPr>
        <w:t xml:space="preserve"> </w:t>
      </w:r>
      <w:r w:rsidRPr="00B971D8">
        <w:rPr>
          <w:rFonts w:asciiTheme="minorHAnsi" w:hAnsiTheme="minorHAnsi" w:cstheme="minorHAnsi"/>
        </w:rPr>
        <w:t xml:space="preserve">with no pulmonary emboli reported. Major Index Limb Amputations </w:t>
      </w:r>
      <w:r>
        <w:rPr>
          <w:rFonts w:asciiTheme="minorHAnsi" w:hAnsiTheme="minorHAnsi" w:cstheme="minorHAnsi"/>
        </w:rPr>
        <w:t xml:space="preserve">through </w:t>
      </w:r>
      <w:r w:rsidR="00FC7074">
        <w:rPr>
          <w:rFonts w:asciiTheme="minorHAnsi" w:hAnsiTheme="minorHAnsi" w:cstheme="minorHAnsi"/>
        </w:rPr>
        <w:t xml:space="preserve">three years </w:t>
      </w:r>
      <w:r>
        <w:rPr>
          <w:rFonts w:asciiTheme="minorHAnsi" w:hAnsiTheme="minorHAnsi" w:cstheme="minorHAnsi"/>
        </w:rPr>
        <w:t>was 1.</w:t>
      </w:r>
      <w:r w:rsidR="00FC7074">
        <w:rPr>
          <w:rFonts w:asciiTheme="minorHAnsi" w:hAnsiTheme="minorHAnsi" w:cstheme="minorHAnsi"/>
        </w:rPr>
        <w:t>5</w:t>
      </w:r>
      <w:r>
        <w:rPr>
          <w:rFonts w:asciiTheme="minorHAnsi" w:hAnsiTheme="minorHAnsi" w:cstheme="minorHAnsi"/>
        </w:rPr>
        <w:t xml:space="preserve">%. Freedom from CD-TLR was </w:t>
      </w:r>
      <w:r w:rsidR="00FC7074">
        <w:rPr>
          <w:rFonts w:asciiTheme="minorHAnsi" w:hAnsiTheme="minorHAnsi" w:cstheme="minorHAnsi"/>
        </w:rPr>
        <w:t>66.8</w:t>
      </w:r>
      <w:r>
        <w:rPr>
          <w:rFonts w:asciiTheme="minorHAnsi" w:hAnsiTheme="minorHAnsi" w:cstheme="minorHAnsi"/>
        </w:rPr>
        <w:t xml:space="preserve">% at </w:t>
      </w:r>
      <w:r w:rsidR="00FC7074">
        <w:rPr>
          <w:rFonts w:asciiTheme="minorHAnsi" w:hAnsiTheme="minorHAnsi" w:cstheme="minorHAnsi"/>
        </w:rPr>
        <w:t>three years</w:t>
      </w:r>
      <w:r>
        <w:rPr>
          <w:rFonts w:asciiTheme="minorHAnsi" w:hAnsiTheme="minorHAnsi" w:cstheme="minorHAnsi"/>
        </w:rPr>
        <w:t xml:space="preserve">.  </w:t>
      </w:r>
      <w:r w:rsidRPr="00B971D8">
        <w:rPr>
          <w:rFonts w:asciiTheme="minorHAnsi" w:hAnsiTheme="minorHAnsi" w:cstheme="minorHAnsi"/>
        </w:rPr>
        <w:t xml:space="preserve">There was marked improvement in Quality of Life as measured by the EQ-5D-5L index. Mean index values of 0.69, 0.77, and 0.80, were seen at baseline, 30 days, and 12 months respectively.  Mean EQ VAS scores were 62.8, 72.1, and 70.5 over the same periods. </w:t>
      </w:r>
    </w:p>
    <w:p w14:paraId="562D4535" w14:textId="77777777" w:rsidR="00E20CAE" w:rsidRPr="00B41153" w:rsidRDefault="00E20CAE" w:rsidP="00E20CAE">
      <w:pPr>
        <w:pStyle w:val="Default"/>
        <w:spacing w:after="120"/>
        <w:rPr>
          <w:rFonts w:asciiTheme="minorHAnsi" w:hAnsiTheme="minorHAnsi" w:cstheme="minorHAnsi"/>
          <w:highlight w:val="yellow"/>
        </w:rPr>
      </w:pPr>
    </w:p>
    <w:p w14:paraId="21C4F5CC" w14:textId="77777777" w:rsidR="00E20CAE" w:rsidRPr="00B41153" w:rsidRDefault="00E20CAE" w:rsidP="00E20CAE">
      <w:pPr>
        <w:pStyle w:val="Default"/>
        <w:spacing w:after="120"/>
        <w:rPr>
          <w:rFonts w:asciiTheme="minorHAnsi" w:hAnsiTheme="minorHAnsi" w:cstheme="minorHAnsi"/>
          <w:b/>
          <w:bCs/>
          <w:u w:val="single"/>
        </w:rPr>
      </w:pPr>
      <w:bookmarkStart w:id="5" w:name="_Hlk133328273"/>
      <w:r w:rsidRPr="00B41153">
        <w:rPr>
          <w:rFonts w:asciiTheme="minorHAnsi" w:hAnsiTheme="minorHAnsi" w:cstheme="minorHAnsi"/>
          <w:b/>
          <w:bCs/>
          <w:u w:val="single"/>
        </w:rPr>
        <w:t>DETOUR Publications to Date</w:t>
      </w:r>
    </w:p>
    <w:bookmarkEnd w:id="5"/>
    <w:p w14:paraId="1C16586C" w14:textId="77777777" w:rsidR="00E20CAE" w:rsidRPr="00F26044" w:rsidRDefault="00E20CAE" w:rsidP="00E20CAE">
      <w:pPr>
        <w:pStyle w:val="Default"/>
        <w:spacing w:after="120"/>
        <w:rPr>
          <w:rFonts w:asciiTheme="minorHAnsi" w:hAnsiTheme="minorHAnsi" w:cstheme="minorHAnsi"/>
        </w:rPr>
      </w:pPr>
      <w:proofErr w:type="spellStart"/>
      <w:r w:rsidRPr="00F26044">
        <w:rPr>
          <w:rFonts w:asciiTheme="minorHAnsi" w:hAnsiTheme="minorHAnsi" w:cstheme="minorHAnsi"/>
        </w:rPr>
        <w:t>Krievins</w:t>
      </w:r>
      <w:proofErr w:type="spellEnd"/>
      <w:r w:rsidRPr="00F26044">
        <w:rPr>
          <w:rFonts w:asciiTheme="minorHAnsi" w:hAnsiTheme="minorHAnsi" w:cstheme="minorHAnsi"/>
        </w:rPr>
        <w:t xml:space="preserve"> DK, Halena G, Scheinert D, </w:t>
      </w:r>
      <w:proofErr w:type="spellStart"/>
      <w:r w:rsidRPr="00F26044">
        <w:rPr>
          <w:rFonts w:asciiTheme="minorHAnsi" w:hAnsiTheme="minorHAnsi" w:cstheme="minorHAnsi"/>
        </w:rPr>
        <w:t>Savlovskis</w:t>
      </w:r>
      <w:proofErr w:type="spellEnd"/>
      <w:r w:rsidRPr="00F26044">
        <w:rPr>
          <w:rFonts w:asciiTheme="minorHAnsi" w:hAnsiTheme="minorHAnsi" w:cstheme="minorHAnsi"/>
        </w:rPr>
        <w:t xml:space="preserve"> J, </w:t>
      </w:r>
      <w:proofErr w:type="spellStart"/>
      <w:r w:rsidRPr="00F26044">
        <w:rPr>
          <w:rFonts w:asciiTheme="minorHAnsi" w:hAnsiTheme="minorHAnsi" w:cstheme="minorHAnsi"/>
        </w:rPr>
        <w:t>Szopiński</w:t>
      </w:r>
      <w:proofErr w:type="spellEnd"/>
      <w:r w:rsidRPr="00F26044">
        <w:rPr>
          <w:rFonts w:asciiTheme="minorHAnsi" w:hAnsiTheme="minorHAnsi" w:cstheme="minorHAnsi"/>
        </w:rPr>
        <w:t xml:space="preserve"> P, Krämer A, Ouriel K, Nair K, Holden A, Schmidt A. One-year results from the DETOUR I trial of the PQ Bypass DETOUR System for percutaneous femoropopliteal bypass. J </w:t>
      </w:r>
      <w:proofErr w:type="spellStart"/>
      <w:r w:rsidRPr="00F26044">
        <w:rPr>
          <w:rFonts w:asciiTheme="minorHAnsi" w:hAnsiTheme="minorHAnsi" w:cstheme="minorHAnsi"/>
        </w:rPr>
        <w:t>Vasc</w:t>
      </w:r>
      <w:proofErr w:type="spellEnd"/>
      <w:r w:rsidRPr="00F26044">
        <w:rPr>
          <w:rFonts w:asciiTheme="minorHAnsi" w:hAnsiTheme="minorHAnsi" w:cstheme="minorHAnsi"/>
        </w:rPr>
        <w:t xml:space="preserve"> Surg. 2020 Nov;72(5):1648-1658.e2. </w:t>
      </w:r>
      <w:proofErr w:type="spellStart"/>
      <w:r w:rsidRPr="00F26044">
        <w:rPr>
          <w:rFonts w:asciiTheme="minorHAnsi" w:hAnsiTheme="minorHAnsi" w:cstheme="minorHAnsi"/>
        </w:rPr>
        <w:t>doi</w:t>
      </w:r>
      <w:proofErr w:type="spellEnd"/>
      <w:r w:rsidRPr="00F26044">
        <w:rPr>
          <w:rFonts w:asciiTheme="minorHAnsi" w:hAnsiTheme="minorHAnsi" w:cstheme="minorHAnsi"/>
        </w:rPr>
        <w:t xml:space="preserve">: 10.1016/j.jvs.2020.02.043. </w:t>
      </w:r>
      <w:proofErr w:type="spellStart"/>
      <w:r w:rsidRPr="00F26044">
        <w:rPr>
          <w:rFonts w:asciiTheme="minorHAnsi" w:hAnsiTheme="minorHAnsi" w:cstheme="minorHAnsi"/>
        </w:rPr>
        <w:t>Epub</w:t>
      </w:r>
      <w:proofErr w:type="spellEnd"/>
      <w:r w:rsidRPr="00F26044">
        <w:rPr>
          <w:rFonts w:asciiTheme="minorHAnsi" w:hAnsiTheme="minorHAnsi" w:cstheme="minorHAnsi"/>
        </w:rPr>
        <w:t xml:space="preserve"> 2020 Apr 8. PMID: 32276015.</w:t>
      </w:r>
    </w:p>
    <w:p w14:paraId="204ADB63" w14:textId="77777777" w:rsidR="00E20CAE" w:rsidRPr="00F26044" w:rsidRDefault="00E20CAE" w:rsidP="00E20CAE">
      <w:pPr>
        <w:pStyle w:val="Default"/>
        <w:spacing w:after="120"/>
        <w:rPr>
          <w:rFonts w:asciiTheme="minorHAnsi" w:hAnsiTheme="minorHAnsi" w:cstheme="minorHAnsi"/>
        </w:rPr>
      </w:pPr>
      <w:r w:rsidRPr="00F26044">
        <w:rPr>
          <w:rFonts w:asciiTheme="minorHAnsi" w:hAnsiTheme="minorHAnsi" w:cstheme="minorHAnsi"/>
        </w:rPr>
        <w:t xml:space="preserve">Halena G, </w:t>
      </w:r>
      <w:proofErr w:type="spellStart"/>
      <w:r w:rsidRPr="00F26044">
        <w:rPr>
          <w:rFonts w:asciiTheme="minorHAnsi" w:hAnsiTheme="minorHAnsi" w:cstheme="minorHAnsi"/>
        </w:rPr>
        <w:t>Krievins</w:t>
      </w:r>
      <w:proofErr w:type="spellEnd"/>
      <w:r w:rsidRPr="00F26044">
        <w:rPr>
          <w:rFonts w:asciiTheme="minorHAnsi" w:hAnsiTheme="minorHAnsi" w:cstheme="minorHAnsi"/>
        </w:rPr>
        <w:t xml:space="preserve"> DK, Scheinert D, </w:t>
      </w:r>
      <w:proofErr w:type="spellStart"/>
      <w:r w:rsidRPr="00F26044">
        <w:rPr>
          <w:rFonts w:asciiTheme="minorHAnsi" w:hAnsiTheme="minorHAnsi" w:cstheme="minorHAnsi"/>
        </w:rPr>
        <w:t>Savlovskis</w:t>
      </w:r>
      <w:proofErr w:type="spellEnd"/>
      <w:r w:rsidRPr="00F26044">
        <w:rPr>
          <w:rFonts w:asciiTheme="minorHAnsi" w:hAnsiTheme="minorHAnsi" w:cstheme="minorHAnsi"/>
        </w:rPr>
        <w:t xml:space="preserve"> J, </w:t>
      </w:r>
      <w:proofErr w:type="spellStart"/>
      <w:r w:rsidRPr="00F26044">
        <w:rPr>
          <w:rFonts w:asciiTheme="minorHAnsi" w:hAnsiTheme="minorHAnsi" w:cstheme="minorHAnsi"/>
        </w:rPr>
        <w:t>Szopiński</w:t>
      </w:r>
      <w:proofErr w:type="spellEnd"/>
      <w:r w:rsidRPr="00F26044">
        <w:rPr>
          <w:rFonts w:asciiTheme="minorHAnsi" w:hAnsiTheme="minorHAnsi" w:cstheme="minorHAnsi"/>
        </w:rPr>
        <w:t xml:space="preserve"> P, Krämer A, Ouriel K, Schmidt A, Zdunek M, Lyden SP. Percutaneous Femoropopliteal Bypass: 2-Year Results of the DETOUR System. J </w:t>
      </w:r>
      <w:proofErr w:type="spellStart"/>
      <w:r w:rsidRPr="00F26044">
        <w:rPr>
          <w:rFonts w:asciiTheme="minorHAnsi" w:hAnsiTheme="minorHAnsi" w:cstheme="minorHAnsi"/>
        </w:rPr>
        <w:t>Endovasc</w:t>
      </w:r>
      <w:proofErr w:type="spellEnd"/>
      <w:r w:rsidRPr="00F26044">
        <w:rPr>
          <w:rFonts w:asciiTheme="minorHAnsi" w:hAnsiTheme="minorHAnsi" w:cstheme="minorHAnsi"/>
        </w:rPr>
        <w:t xml:space="preserve"> Ther. 2022 Feb;29(1):84-95. </w:t>
      </w:r>
      <w:proofErr w:type="spellStart"/>
      <w:r w:rsidRPr="00F26044">
        <w:rPr>
          <w:rFonts w:asciiTheme="minorHAnsi" w:hAnsiTheme="minorHAnsi" w:cstheme="minorHAnsi"/>
        </w:rPr>
        <w:t>doi</w:t>
      </w:r>
      <w:proofErr w:type="spellEnd"/>
      <w:r w:rsidRPr="00F26044">
        <w:rPr>
          <w:rFonts w:asciiTheme="minorHAnsi" w:hAnsiTheme="minorHAnsi" w:cstheme="minorHAnsi"/>
        </w:rPr>
        <w:t xml:space="preserve">: 10.1177/15266028211034862. </w:t>
      </w:r>
      <w:proofErr w:type="spellStart"/>
      <w:r w:rsidRPr="00F26044">
        <w:rPr>
          <w:rFonts w:asciiTheme="minorHAnsi" w:hAnsiTheme="minorHAnsi" w:cstheme="minorHAnsi"/>
        </w:rPr>
        <w:t>Epub</w:t>
      </w:r>
      <w:proofErr w:type="spellEnd"/>
      <w:r w:rsidRPr="00F26044">
        <w:rPr>
          <w:rFonts w:asciiTheme="minorHAnsi" w:hAnsiTheme="minorHAnsi" w:cstheme="minorHAnsi"/>
        </w:rPr>
        <w:t xml:space="preserve"> 2021 Aug 31. PMID: 34465223.</w:t>
      </w:r>
    </w:p>
    <w:p w14:paraId="72CF289F" w14:textId="77777777" w:rsidR="00E20CAE" w:rsidRPr="00F26044" w:rsidRDefault="00E20CAE" w:rsidP="00E20CAE">
      <w:pPr>
        <w:pStyle w:val="Default"/>
        <w:spacing w:after="120"/>
        <w:rPr>
          <w:rFonts w:asciiTheme="minorHAnsi" w:hAnsiTheme="minorHAnsi" w:cstheme="minorHAnsi"/>
        </w:rPr>
      </w:pPr>
      <w:r w:rsidRPr="00F26044">
        <w:rPr>
          <w:rFonts w:asciiTheme="minorHAnsi" w:hAnsiTheme="minorHAnsi" w:cstheme="minorHAnsi"/>
        </w:rPr>
        <w:t xml:space="preserve">Schneider PA, </w:t>
      </w:r>
      <w:proofErr w:type="spellStart"/>
      <w:r w:rsidRPr="00F26044">
        <w:rPr>
          <w:rFonts w:asciiTheme="minorHAnsi" w:hAnsiTheme="minorHAnsi" w:cstheme="minorHAnsi"/>
        </w:rPr>
        <w:t>Krievins</w:t>
      </w:r>
      <w:proofErr w:type="spellEnd"/>
      <w:r w:rsidRPr="00F26044">
        <w:rPr>
          <w:rFonts w:asciiTheme="minorHAnsi" w:hAnsiTheme="minorHAnsi" w:cstheme="minorHAnsi"/>
        </w:rPr>
        <w:t xml:space="preserve"> DK, Halena G, Schmidt A, Lyden S, Lee V, Hu M, Adelman M. Venous outcomes at 1 year after using the femoral vein as a conduit for passage of percutaneous femoropopliteal bypass. J </w:t>
      </w:r>
      <w:proofErr w:type="spellStart"/>
      <w:r w:rsidRPr="00F26044">
        <w:rPr>
          <w:rFonts w:asciiTheme="minorHAnsi" w:hAnsiTheme="minorHAnsi" w:cstheme="minorHAnsi"/>
        </w:rPr>
        <w:t>Vasc</w:t>
      </w:r>
      <w:proofErr w:type="spellEnd"/>
      <w:r w:rsidRPr="00F26044">
        <w:rPr>
          <w:rFonts w:asciiTheme="minorHAnsi" w:hAnsiTheme="minorHAnsi" w:cstheme="minorHAnsi"/>
        </w:rPr>
        <w:t xml:space="preserve"> Surg Venous </w:t>
      </w:r>
      <w:proofErr w:type="spellStart"/>
      <w:r w:rsidRPr="00F26044">
        <w:rPr>
          <w:rFonts w:asciiTheme="minorHAnsi" w:hAnsiTheme="minorHAnsi" w:cstheme="minorHAnsi"/>
        </w:rPr>
        <w:t>Lymphat</w:t>
      </w:r>
      <w:proofErr w:type="spellEnd"/>
      <w:r w:rsidRPr="00F26044">
        <w:rPr>
          <w:rFonts w:asciiTheme="minorHAnsi" w:hAnsiTheme="minorHAnsi" w:cstheme="minorHAnsi"/>
        </w:rPr>
        <w:t xml:space="preserve"> </w:t>
      </w:r>
      <w:proofErr w:type="spellStart"/>
      <w:r w:rsidRPr="00F26044">
        <w:rPr>
          <w:rFonts w:asciiTheme="minorHAnsi" w:hAnsiTheme="minorHAnsi" w:cstheme="minorHAnsi"/>
        </w:rPr>
        <w:t>Disord</w:t>
      </w:r>
      <w:proofErr w:type="spellEnd"/>
      <w:r w:rsidRPr="00F26044">
        <w:rPr>
          <w:rFonts w:asciiTheme="minorHAnsi" w:hAnsiTheme="minorHAnsi" w:cstheme="minorHAnsi"/>
        </w:rPr>
        <w:t xml:space="preserve">. 2021 Sep;9(5):1266-1272.e3. </w:t>
      </w:r>
      <w:proofErr w:type="spellStart"/>
      <w:r w:rsidRPr="00F26044">
        <w:rPr>
          <w:rFonts w:asciiTheme="minorHAnsi" w:hAnsiTheme="minorHAnsi" w:cstheme="minorHAnsi"/>
        </w:rPr>
        <w:t>doi</w:t>
      </w:r>
      <w:proofErr w:type="spellEnd"/>
      <w:r w:rsidRPr="00F26044">
        <w:rPr>
          <w:rFonts w:asciiTheme="minorHAnsi" w:hAnsiTheme="minorHAnsi" w:cstheme="minorHAnsi"/>
        </w:rPr>
        <w:t xml:space="preserve">: 10.1016/j.jvsv.2020.12.080. </w:t>
      </w:r>
      <w:proofErr w:type="spellStart"/>
      <w:r w:rsidRPr="00F26044">
        <w:rPr>
          <w:rFonts w:asciiTheme="minorHAnsi" w:hAnsiTheme="minorHAnsi" w:cstheme="minorHAnsi"/>
        </w:rPr>
        <w:t>Epub</w:t>
      </w:r>
      <w:proofErr w:type="spellEnd"/>
      <w:r w:rsidRPr="00F26044">
        <w:rPr>
          <w:rFonts w:asciiTheme="minorHAnsi" w:hAnsiTheme="minorHAnsi" w:cstheme="minorHAnsi"/>
        </w:rPr>
        <w:t xml:space="preserve"> 2021 Jan 8. PMID: 33429092.</w:t>
      </w:r>
    </w:p>
    <w:p w14:paraId="10565CCB" w14:textId="77777777" w:rsidR="00E20CAE" w:rsidRPr="00F26044" w:rsidRDefault="00E20CAE" w:rsidP="00E20CAE">
      <w:pPr>
        <w:pStyle w:val="Default"/>
        <w:spacing w:after="120"/>
        <w:rPr>
          <w:rFonts w:asciiTheme="minorHAnsi" w:hAnsiTheme="minorHAnsi" w:cstheme="minorHAnsi"/>
        </w:rPr>
      </w:pPr>
      <w:r w:rsidRPr="00F26044">
        <w:rPr>
          <w:rFonts w:asciiTheme="minorHAnsi" w:hAnsiTheme="minorHAnsi" w:cstheme="minorHAnsi"/>
        </w:rPr>
        <w:t xml:space="preserve">Rumba R, </w:t>
      </w:r>
      <w:proofErr w:type="spellStart"/>
      <w:r w:rsidRPr="00F26044">
        <w:rPr>
          <w:rFonts w:asciiTheme="minorHAnsi" w:hAnsiTheme="minorHAnsi" w:cstheme="minorHAnsi"/>
        </w:rPr>
        <w:t>Krievins</w:t>
      </w:r>
      <w:proofErr w:type="spellEnd"/>
      <w:r w:rsidRPr="00F26044">
        <w:rPr>
          <w:rFonts w:asciiTheme="minorHAnsi" w:hAnsiTheme="minorHAnsi" w:cstheme="minorHAnsi"/>
        </w:rPr>
        <w:t xml:space="preserve"> D, </w:t>
      </w:r>
      <w:proofErr w:type="spellStart"/>
      <w:r w:rsidRPr="00F26044">
        <w:rPr>
          <w:rFonts w:asciiTheme="minorHAnsi" w:hAnsiTheme="minorHAnsi" w:cstheme="minorHAnsi"/>
        </w:rPr>
        <w:t>Savlovskis</w:t>
      </w:r>
      <w:proofErr w:type="spellEnd"/>
      <w:r w:rsidRPr="00F26044">
        <w:rPr>
          <w:rFonts w:asciiTheme="minorHAnsi" w:hAnsiTheme="minorHAnsi" w:cstheme="minorHAnsi"/>
        </w:rPr>
        <w:t xml:space="preserve"> J, </w:t>
      </w:r>
      <w:proofErr w:type="spellStart"/>
      <w:r w:rsidRPr="00F26044">
        <w:rPr>
          <w:rFonts w:asciiTheme="minorHAnsi" w:hAnsiTheme="minorHAnsi" w:cstheme="minorHAnsi"/>
        </w:rPr>
        <w:t>Ezite</w:t>
      </w:r>
      <w:proofErr w:type="spellEnd"/>
      <w:r w:rsidRPr="00F26044">
        <w:rPr>
          <w:rFonts w:asciiTheme="minorHAnsi" w:hAnsiTheme="minorHAnsi" w:cstheme="minorHAnsi"/>
        </w:rPr>
        <w:t xml:space="preserve"> N, </w:t>
      </w:r>
      <w:proofErr w:type="spellStart"/>
      <w:r w:rsidRPr="00F26044">
        <w:rPr>
          <w:rFonts w:asciiTheme="minorHAnsi" w:hAnsiTheme="minorHAnsi" w:cstheme="minorHAnsi"/>
        </w:rPr>
        <w:t>Kukulis</w:t>
      </w:r>
      <w:proofErr w:type="spellEnd"/>
      <w:r w:rsidRPr="00F26044">
        <w:rPr>
          <w:rFonts w:asciiTheme="minorHAnsi" w:hAnsiTheme="minorHAnsi" w:cstheme="minorHAnsi"/>
        </w:rPr>
        <w:t xml:space="preserve"> I, </w:t>
      </w:r>
      <w:proofErr w:type="spellStart"/>
      <w:r w:rsidRPr="00F26044">
        <w:rPr>
          <w:rFonts w:asciiTheme="minorHAnsi" w:hAnsiTheme="minorHAnsi" w:cstheme="minorHAnsi"/>
        </w:rPr>
        <w:t>Petrosina</w:t>
      </w:r>
      <w:proofErr w:type="spellEnd"/>
      <w:r w:rsidRPr="00F26044">
        <w:rPr>
          <w:rFonts w:asciiTheme="minorHAnsi" w:hAnsiTheme="minorHAnsi" w:cstheme="minorHAnsi"/>
        </w:rPr>
        <w:t xml:space="preserve"> E, </w:t>
      </w:r>
      <w:proofErr w:type="spellStart"/>
      <w:r w:rsidRPr="00F26044">
        <w:rPr>
          <w:rFonts w:asciiTheme="minorHAnsi" w:hAnsiTheme="minorHAnsi" w:cstheme="minorHAnsi"/>
        </w:rPr>
        <w:t>Mouttet</w:t>
      </w:r>
      <w:proofErr w:type="spellEnd"/>
      <w:r w:rsidRPr="00F26044">
        <w:rPr>
          <w:rFonts w:asciiTheme="minorHAnsi" w:hAnsiTheme="minorHAnsi" w:cstheme="minorHAnsi"/>
        </w:rPr>
        <w:t xml:space="preserve"> L, Lacis A, Zarins CK. Long term clinical and functional venous outcomes after endovascular transvenous </w:t>
      </w:r>
      <w:proofErr w:type="spellStart"/>
      <w:r w:rsidRPr="00F26044">
        <w:rPr>
          <w:rFonts w:asciiTheme="minorHAnsi" w:hAnsiTheme="minorHAnsi" w:cstheme="minorHAnsi"/>
        </w:rPr>
        <w:t>femoro</w:t>
      </w:r>
      <w:proofErr w:type="spellEnd"/>
      <w:r w:rsidRPr="00F26044">
        <w:rPr>
          <w:rFonts w:asciiTheme="minorHAnsi" w:hAnsiTheme="minorHAnsi" w:cstheme="minorHAnsi"/>
        </w:rPr>
        <w:t xml:space="preserve">-popliteal bypass. Int </w:t>
      </w:r>
      <w:proofErr w:type="spellStart"/>
      <w:r w:rsidRPr="00F26044">
        <w:rPr>
          <w:rFonts w:asciiTheme="minorHAnsi" w:hAnsiTheme="minorHAnsi" w:cstheme="minorHAnsi"/>
        </w:rPr>
        <w:t>Angiol</w:t>
      </w:r>
      <w:proofErr w:type="spellEnd"/>
      <w:r w:rsidRPr="00F26044">
        <w:rPr>
          <w:rFonts w:asciiTheme="minorHAnsi" w:hAnsiTheme="minorHAnsi" w:cstheme="minorHAnsi"/>
        </w:rPr>
        <w:t xml:space="preserve">. 2022 Dec;41(6):509-516. </w:t>
      </w:r>
      <w:proofErr w:type="spellStart"/>
      <w:r w:rsidRPr="00F26044">
        <w:rPr>
          <w:rFonts w:asciiTheme="minorHAnsi" w:hAnsiTheme="minorHAnsi" w:cstheme="minorHAnsi"/>
        </w:rPr>
        <w:t>doi</w:t>
      </w:r>
      <w:proofErr w:type="spellEnd"/>
      <w:r w:rsidRPr="00F26044">
        <w:rPr>
          <w:rFonts w:asciiTheme="minorHAnsi" w:hAnsiTheme="minorHAnsi" w:cstheme="minorHAnsi"/>
        </w:rPr>
        <w:t xml:space="preserve">: 10.23736/S0392-9590.22.04937-9. </w:t>
      </w:r>
      <w:proofErr w:type="spellStart"/>
      <w:r w:rsidRPr="00F26044">
        <w:rPr>
          <w:rFonts w:asciiTheme="minorHAnsi" w:hAnsiTheme="minorHAnsi" w:cstheme="minorHAnsi"/>
        </w:rPr>
        <w:t>Epub</w:t>
      </w:r>
      <w:proofErr w:type="spellEnd"/>
      <w:r w:rsidRPr="00F26044">
        <w:rPr>
          <w:rFonts w:asciiTheme="minorHAnsi" w:hAnsiTheme="minorHAnsi" w:cstheme="minorHAnsi"/>
        </w:rPr>
        <w:t xml:space="preserve"> 2022 Oct 4. PMID: 36194385.</w:t>
      </w:r>
    </w:p>
    <w:p w14:paraId="5C328321" w14:textId="77777777" w:rsidR="00E20CAE" w:rsidRDefault="00E20CAE" w:rsidP="00E20CAE">
      <w:pPr>
        <w:pStyle w:val="Default"/>
        <w:spacing w:after="120"/>
        <w:rPr>
          <w:rFonts w:asciiTheme="minorHAnsi" w:hAnsiTheme="minorHAnsi" w:cstheme="minorHAnsi"/>
        </w:rPr>
      </w:pPr>
      <w:proofErr w:type="spellStart"/>
      <w:r w:rsidRPr="00F26044">
        <w:rPr>
          <w:rFonts w:asciiTheme="minorHAnsi" w:hAnsiTheme="minorHAnsi" w:cstheme="minorHAnsi"/>
        </w:rPr>
        <w:t>Krievins</w:t>
      </w:r>
      <w:proofErr w:type="spellEnd"/>
      <w:r w:rsidRPr="00F26044">
        <w:rPr>
          <w:rFonts w:asciiTheme="minorHAnsi" w:hAnsiTheme="minorHAnsi" w:cstheme="minorHAnsi"/>
        </w:rPr>
        <w:t xml:space="preserve"> D, </w:t>
      </w:r>
      <w:proofErr w:type="spellStart"/>
      <w:r w:rsidRPr="00F26044">
        <w:rPr>
          <w:rFonts w:asciiTheme="minorHAnsi" w:hAnsiTheme="minorHAnsi" w:cstheme="minorHAnsi"/>
        </w:rPr>
        <w:t>Savlovskis</w:t>
      </w:r>
      <w:proofErr w:type="spellEnd"/>
      <w:r w:rsidRPr="00F26044">
        <w:rPr>
          <w:rFonts w:asciiTheme="minorHAnsi" w:hAnsiTheme="minorHAnsi" w:cstheme="minorHAnsi"/>
        </w:rPr>
        <w:t xml:space="preserve"> J, </w:t>
      </w:r>
      <w:proofErr w:type="spellStart"/>
      <w:r w:rsidRPr="00F26044">
        <w:rPr>
          <w:rFonts w:asciiTheme="minorHAnsi" w:hAnsiTheme="minorHAnsi" w:cstheme="minorHAnsi"/>
        </w:rPr>
        <w:t>Ezite</w:t>
      </w:r>
      <w:proofErr w:type="spellEnd"/>
      <w:r w:rsidRPr="00F26044">
        <w:rPr>
          <w:rFonts w:asciiTheme="minorHAnsi" w:hAnsiTheme="minorHAnsi" w:cstheme="minorHAnsi"/>
        </w:rPr>
        <w:t xml:space="preserve"> N, Hill A, </w:t>
      </w:r>
      <w:proofErr w:type="spellStart"/>
      <w:r w:rsidRPr="00F26044">
        <w:rPr>
          <w:rFonts w:asciiTheme="minorHAnsi" w:hAnsiTheme="minorHAnsi" w:cstheme="minorHAnsi"/>
        </w:rPr>
        <w:t>Kisis</w:t>
      </w:r>
      <w:proofErr w:type="spellEnd"/>
      <w:r w:rsidRPr="00F26044">
        <w:rPr>
          <w:rFonts w:asciiTheme="minorHAnsi" w:hAnsiTheme="minorHAnsi" w:cstheme="minorHAnsi"/>
        </w:rPr>
        <w:t xml:space="preserve"> K, </w:t>
      </w:r>
      <w:proofErr w:type="spellStart"/>
      <w:r w:rsidRPr="00F26044">
        <w:rPr>
          <w:rFonts w:asciiTheme="minorHAnsi" w:hAnsiTheme="minorHAnsi" w:cstheme="minorHAnsi"/>
        </w:rPr>
        <w:t>Gedins</w:t>
      </w:r>
      <w:proofErr w:type="spellEnd"/>
      <w:r w:rsidRPr="00F26044">
        <w:rPr>
          <w:rFonts w:asciiTheme="minorHAnsi" w:hAnsiTheme="minorHAnsi" w:cstheme="minorHAnsi"/>
        </w:rPr>
        <w:t xml:space="preserve"> M, </w:t>
      </w:r>
      <w:proofErr w:type="spellStart"/>
      <w:r w:rsidRPr="00F26044">
        <w:rPr>
          <w:rFonts w:asciiTheme="minorHAnsi" w:hAnsiTheme="minorHAnsi" w:cstheme="minorHAnsi"/>
        </w:rPr>
        <w:t>Zellans</w:t>
      </w:r>
      <w:proofErr w:type="spellEnd"/>
      <w:r w:rsidRPr="00F26044">
        <w:rPr>
          <w:rFonts w:asciiTheme="minorHAnsi" w:hAnsiTheme="minorHAnsi" w:cstheme="minorHAnsi"/>
        </w:rPr>
        <w:t xml:space="preserve"> E, Holden A. The DETOUR procedure: no more need for conventional bypass surgery? J Cardiovasc Surg (Torino). 2018 Apr;59(2):172-177. </w:t>
      </w:r>
      <w:proofErr w:type="spellStart"/>
      <w:r w:rsidRPr="00F26044">
        <w:rPr>
          <w:rFonts w:asciiTheme="minorHAnsi" w:hAnsiTheme="minorHAnsi" w:cstheme="minorHAnsi"/>
        </w:rPr>
        <w:t>doi</w:t>
      </w:r>
      <w:proofErr w:type="spellEnd"/>
      <w:r w:rsidRPr="00F26044">
        <w:rPr>
          <w:rFonts w:asciiTheme="minorHAnsi" w:hAnsiTheme="minorHAnsi" w:cstheme="minorHAnsi"/>
        </w:rPr>
        <w:t xml:space="preserve">: 10.23736/S0021-9509.18.10353-3. </w:t>
      </w:r>
      <w:proofErr w:type="spellStart"/>
      <w:r w:rsidRPr="00F26044">
        <w:rPr>
          <w:rFonts w:asciiTheme="minorHAnsi" w:hAnsiTheme="minorHAnsi" w:cstheme="minorHAnsi"/>
        </w:rPr>
        <w:t>Epub</w:t>
      </w:r>
      <w:proofErr w:type="spellEnd"/>
      <w:r w:rsidRPr="00F26044">
        <w:rPr>
          <w:rFonts w:asciiTheme="minorHAnsi" w:hAnsiTheme="minorHAnsi" w:cstheme="minorHAnsi"/>
        </w:rPr>
        <w:t xml:space="preserve"> 2018 Jan 9. PMID: 29327570.</w:t>
      </w:r>
    </w:p>
    <w:p w14:paraId="18DD6959" w14:textId="77777777" w:rsidR="00E20CAE" w:rsidRPr="00B87D9A" w:rsidRDefault="00E20CAE" w:rsidP="00E20CAE">
      <w:pPr>
        <w:pStyle w:val="Default"/>
        <w:spacing w:after="120"/>
        <w:rPr>
          <w:rFonts w:asciiTheme="minorHAnsi" w:hAnsiTheme="minorHAnsi" w:cstheme="minorHAnsi"/>
          <w:b/>
          <w:bCs/>
          <w:u w:val="single"/>
        </w:rPr>
      </w:pPr>
      <w:r w:rsidRPr="00B87D9A">
        <w:rPr>
          <w:rFonts w:asciiTheme="minorHAnsi" w:hAnsiTheme="minorHAnsi" w:cstheme="minorHAnsi"/>
          <w:b/>
          <w:bCs/>
          <w:u w:val="single"/>
        </w:rPr>
        <w:t>DETOUR</w:t>
      </w:r>
      <w:r>
        <w:rPr>
          <w:rFonts w:asciiTheme="minorHAnsi" w:hAnsiTheme="minorHAnsi" w:cstheme="minorHAnsi"/>
          <w:b/>
          <w:bCs/>
          <w:u w:val="single"/>
        </w:rPr>
        <w:t>2</w:t>
      </w:r>
      <w:r w:rsidRPr="00B87D9A">
        <w:rPr>
          <w:rFonts w:asciiTheme="minorHAnsi" w:hAnsiTheme="minorHAnsi" w:cstheme="minorHAnsi"/>
          <w:b/>
          <w:bCs/>
          <w:u w:val="single"/>
        </w:rPr>
        <w:t xml:space="preserve"> P</w:t>
      </w:r>
      <w:r>
        <w:rPr>
          <w:rFonts w:asciiTheme="minorHAnsi" w:hAnsiTheme="minorHAnsi" w:cstheme="minorHAnsi"/>
          <w:b/>
          <w:bCs/>
          <w:u w:val="single"/>
        </w:rPr>
        <w:t>resentations</w:t>
      </w:r>
    </w:p>
    <w:p w14:paraId="046CB8B5" w14:textId="60D98721" w:rsidR="00422D24" w:rsidRDefault="00422D24" w:rsidP="00E20CAE">
      <w:pPr>
        <w:pStyle w:val="Default"/>
        <w:spacing w:after="120"/>
        <w:rPr>
          <w:rFonts w:asciiTheme="minorHAnsi" w:hAnsiTheme="minorHAnsi" w:cstheme="minorHAnsi"/>
        </w:rPr>
      </w:pPr>
      <w:r>
        <w:rPr>
          <w:rFonts w:asciiTheme="minorHAnsi" w:hAnsiTheme="minorHAnsi" w:cstheme="minorHAnsi"/>
        </w:rPr>
        <w:t xml:space="preserve">“Durability of Percutaneous Transmural Arterial Bypass for Treatment of Femoropopliteal Disease – Final Results of the DETOUR2 study” </w:t>
      </w:r>
      <w:r w:rsidRPr="00F26044">
        <w:rPr>
          <w:rFonts w:asciiTheme="minorHAnsi" w:hAnsiTheme="minorHAnsi" w:cstheme="minorHAnsi"/>
        </w:rPr>
        <w:t>Presented at V</w:t>
      </w:r>
      <w:r>
        <w:rPr>
          <w:rFonts w:asciiTheme="minorHAnsi" w:hAnsiTheme="minorHAnsi" w:cstheme="minorHAnsi"/>
        </w:rPr>
        <w:t>IVA</w:t>
      </w:r>
      <w:r w:rsidRPr="00F26044">
        <w:rPr>
          <w:rFonts w:asciiTheme="minorHAnsi" w:hAnsiTheme="minorHAnsi" w:cstheme="minorHAnsi"/>
        </w:rPr>
        <w:t xml:space="preserve"> 202</w:t>
      </w:r>
      <w:r>
        <w:rPr>
          <w:rFonts w:asciiTheme="minorHAnsi" w:hAnsiTheme="minorHAnsi" w:cstheme="minorHAnsi"/>
        </w:rPr>
        <w:t>4</w:t>
      </w:r>
      <w:r w:rsidRPr="00F26044">
        <w:rPr>
          <w:rFonts w:asciiTheme="minorHAnsi" w:hAnsiTheme="minorHAnsi" w:cstheme="minorHAnsi"/>
        </w:rPr>
        <w:t xml:space="preserve"> by Sean Lyden, MD</w:t>
      </w:r>
    </w:p>
    <w:p w14:paraId="011F4571" w14:textId="3460E638" w:rsidR="00E20CAE" w:rsidRPr="00F26044" w:rsidRDefault="00E20CAE" w:rsidP="00E20CAE">
      <w:pPr>
        <w:pStyle w:val="Default"/>
        <w:spacing w:after="120"/>
        <w:rPr>
          <w:rFonts w:asciiTheme="minorHAnsi" w:hAnsiTheme="minorHAnsi" w:cstheme="minorHAnsi"/>
        </w:rPr>
      </w:pPr>
      <w:r w:rsidRPr="00F26044">
        <w:rPr>
          <w:rFonts w:asciiTheme="minorHAnsi" w:hAnsiTheme="minorHAnsi" w:cstheme="minorHAnsi"/>
        </w:rPr>
        <w:t>“Percutaneous Bypass for Treatment of Long-Segment Femoropopliteal Disease: 12 Month Results from the DETOUR 2 Trial” Presented at VAM 2022 by Sean Lyden, MD</w:t>
      </w:r>
    </w:p>
    <w:p w14:paraId="27B7A5D1" w14:textId="77777777" w:rsidR="00E20CAE" w:rsidRPr="00F26044" w:rsidRDefault="00E20CAE" w:rsidP="00E20CAE">
      <w:pPr>
        <w:pStyle w:val="Default"/>
        <w:spacing w:after="120"/>
        <w:rPr>
          <w:rFonts w:asciiTheme="minorHAnsi" w:hAnsiTheme="minorHAnsi" w:cstheme="minorHAnsi"/>
        </w:rPr>
      </w:pPr>
      <w:r w:rsidRPr="00F26044">
        <w:rPr>
          <w:rFonts w:asciiTheme="minorHAnsi" w:hAnsiTheme="minorHAnsi" w:cstheme="minorHAnsi"/>
        </w:rPr>
        <w:t>“Percutaneous Bypass for Treatment of Femoropopliteal Disease: One-Year Outcomes of the DETOUR-2 Study” Presented at VIVA 2022 by Sean Lyden, MD</w:t>
      </w:r>
    </w:p>
    <w:p w14:paraId="4B610B62" w14:textId="77777777" w:rsidR="00E20CAE" w:rsidRDefault="00E20CAE" w:rsidP="00E20CAE">
      <w:pPr>
        <w:pStyle w:val="Default"/>
        <w:spacing w:after="120"/>
        <w:rPr>
          <w:rFonts w:asciiTheme="minorHAnsi" w:hAnsiTheme="minorHAnsi" w:cstheme="minorHAnsi"/>
        </w:rPr>
      </w:pPr>
      <w:r w:rsidRPr="00F26044">
        <w:rPr>
          <w:rFonts w:asciiTheme="minorHAnsi" w:hAnsiTheme="minorHAnsi" w:cstheme="minorHAnsi"/>
        </w:rPr>
        <w:t xml:space="preserve">“Percutaneous (PQ) Transvenous </w:t>
      </w:r>
      <w:proofErr w:type="spellStart"/>
      <w:r w:rsidRPr="00F26044">
        <w:rPr>
          <w:rFonts w:asciiTheme="minorHAnsi" w:hAnsiTheme="minorHAnsi" w:cstheme="minorHAnsi"/>
        </w:rPr>
        <w:t>Fempop</w:t>
      </w:r>
      <w:proofErr w:type="spellEnd"/>
      <w:r w:rsidRPr="00F26044">
        <w:rPr>
          <w:rFonts w:asciiTheme="minorHAnsi" w:hAnsiTheme="minorHAnsi" w:cstheme="minorHAnsi"/>
        </w:rPr>
        <w:t xml:space="preserve"> PTFE Bypasses </w:t>
      </w:r>
      <w:proofErr w:type="gramStart"/>
      <w:r w:rsidRPr="00F26044">
        <w:rPr>
          <w:rFonts w:asciiTheme="minorHAnsi" w:hAnsiTheme="minorHAnsi" w:cstheme="minorHAnsi"/>
        </w:rPr>
        <w:t>With</w:t>
      </w:r>
      <w:proofErr w:type="gramEnd"/>
      <w:r w:rsidRPr="00F26044">
        <w:rPr>
          <w:rFonts w:asciiTheme="minorHAnsi" w:hAnsiTheme="minorHAnsi" w:cstheme="minorHAnsi"/>
        </w:rPr>
        <w:t xml:space="preserve"> </w:t>
      </w:r>
      <w:proofErr w:type="gramStart"/>
      <w:r w:rsidRPr="00F26044">
        <w:rPr>
          <w:rFonts w:asciiTheme="minorHAnsi" w:hAnsiTheme="minorHAnsi" w:cstheme="minorHAnsi"/>
        </w:rPr>
        <w:t>The</w:t>
      </w:r>
      <w:proofErr w:type="gramEnd"/>
      <w:r w:rsidRPr="00F26044">
        <w:rPr>
          <w:rFonts w:asciiTheme="minorHAnsi" w:hAnsiTheme="minorHAnsi" w:cstheme="minorHAnsi"/>
        </w:rPr>
        <w:t xml:space="preserve"> Torus 2 Device (Now </w:t>
      </w:r>
      <w:proofErr w:type="gramStart"/>
      <w:r w:rsidRPr="00F26044">
        <w:rPr>
          <w:rFonts w:asciiTheme="minorHAnsi" w:hAnsiTheme="minorHAnsi" w:cstheme="minorHAnsi"/>
        </w:rPr>
        <w:t>From</w:t>
      </w:r>
      <w:proofErr w:type="gramEnd"/>
      <w:r w:rsidRPr="00F26044">
        <w:rPr>
          <w:rFonts w:asciiTheme="minorHAnsi" w:hAnsiTheme="minorHAnsi" w:cstheme="minorHAnsi"/>
        </w:rPr>
        <w:t xml:space="preserve"> Endologix): How It Works </w:t>
      </w:r>
      <w:proofErr w:type="gramStart"/>
      <w:r w:rsidRPr="00F26044">
        <w:rPr>
          <w:rFonts w:asciiTheme="minorHAnsi" w:hAnsiTheme="minorHAnsi" w:cstheme="minorHAnsi"/>
        </w:rPr>
        <w:t>And</w:t>
      </w:r>
      <w:proofErr w:type="gramEnd"/>
      <w:r w:rsidRPr="00F26044">
        <w:rPr>
          <w:rFonts w:asciiTheme="minorHAnsi" w:hAnsiTheme="minorHAnsi" w:cstheme="minorHAnsi"/>
        </w:rPr>
        <w:t xml:space="preserve"> Status </w:t>
      </w:r>
      <w:proofErr w:type="gramStart"/>
      <w:r w:rsidRPr="00F26044">
        <w:rPr>
          <w:rFonts w:asciiTheme="minorHAnsi" w:hAnsiTheme="minorHAnsi" w:cstheme="minorHAnsi"/>
        </w:rPr>
        <w:t>Of</w:t>
      </w:r>
      <w:proofErr w:type="gramEnd"/>
      <w:r w:rsidRPr="00F26044">
        <w:rPr>
          <w:rFonts w:asciiTheme="minorHAnsi" w:hAnsiTheme="minorHAnsi" w:cstheme="minorHAnsi"/>
        </w:rPr>
        <w:t xml:space="preserve"> </w:t>
      </w:r>
      <w:proofErr w:type="gramStart"/>
      <w:r w:rsidRPr="00F26044">
        <w:rPr>
          <w:rFonts w:asciiTheme="minorHAnsi" w:hAnsiTheme="minorHAnsi" w:cstheme="minorHAnsi"/>
        </w:rPr>
        <w:t>The</w:t>
      </w:r>
      <w:proofErr w:type="gramEnd"/>
      <w:r w:rsidRPr="00F26044">
        <w:rPr>
          <w:rFonts w:asciiTheme="minorHAnsi" w:hAnsiTheme="minorHAnsi" w:cstheme="minorHAnsi"/>
        </w:rPr>
        <w:t xml:space="preserve"> DETOUR And TORUS Trials </w:t>
      </w:r>
      <w:proofErr w:type="gramStart"/>
      <w:r w:rsidRPr="00F26044">
        <w:rPr>
          <w:rFonts w:asciiTheme="minorHAnsi" w:hAnsiTheme="minorHAnsi" w:cstheme="minorHAnsi"/>
        </w:rPr>
        <w:t>In</w:t>
      </w:r>
      <w:proofErr w:type="gramEnd"/>
      <w:r w:rsidRPr="00F26044">
        <w:rPr>
          <w:rFonts w:asciiTheme="minorHAnsi" w:hAnsiTheme="minorHAnsi" w:cstheme="minorHAnsi"/>
        </w:rPr>
        <w:t xml:space="preserve"> The US: 1-Year Results” Presented at Veith 2022 by Sean Lyden, MD</w:t>
      </w:r>
    </w:p>
    <w:p w14:paraId="64FE8661" w14:textId="77777777" w:rsidR="00E20CAE" w:rsidRPr="00655543" w:rsidRDefault="00E20CAE" w:rsidP="00E20CAE">
      <w:pPr>
        <w:pStyle w:val="Default"/>
        <w:spacing w:after="120"/>
        <w:rPr>
          <w:rFonts w:asciiTheme="minorHAnsi" w:hAnsiTheme="minorHAnsi" w:cstheme="minorHAnsi"/>
          <w:bCs/>
          <w:color w:val="auto"/>
        </w:rPr>
      </w:pPr>
      <w:bookmarkStart w:id="6" w:name="_Hlk504992105"/>
      <w:r w:rsidRPr="00655543">
        <w:rPr>
          <w:rFonts w:asciiTheme="minorHAnsi" w:hAnsiTheme="minorHAnsi" w:cstheme="minorHAnsi"/>
          <w:bCs/>
          <w:color w:val="auto"/>
        </w:rPr>
        <w:lastRenderedPageBreak/>
        <w:t xml:space="preserve">I believe </w:t>
      </w:r>
      <w:r>
        <w:rPr>
          <w:rFonts w:asciiTheme="minorHAnsi" w:hAnsiTheme="minorHAnsi" w:cstheme="minorHAnsi"/>
          <w:bCs/>
          <w:color w:val="auto"/>
        </w:rPr>
        <w:t xml:space="preserve">PTAB </w:t>
      </w:r>
      <w:r w:rsidRPr="00655543">
        <w:rPr>
          <w:rFonts w:asciiTheme="minorHAnsi" w:hAnsiTheme="minorHAnsi" w:cstheme="minorHAnsi"/>
          <w:bCs/>
          <w:color w:val="auto"/>
        </w:rPr>
        <w:t xml:space="preserve">is the best treatment for </w:t>
      </w:r>
      <w:r w:rsidRPr="00655543">
        <w:rPr>
          <w:rFonts w:asciiTheme="minorHAnsi" w:hAnsiTheme="minorHAnsi" w:cstheme="minorHAnsi"/>
          <w:bCs/>
          <w:i/>
          <w:color w:val="5B9BD5" w:themeColor="accent5"/>
        </w:rPr>
        <w:t>[insert patient name]</w:t>
      </w:r>
      <w:r w:rsidRPr="00655543">
        <w:rPr>
          <w:rFonts w:asciiTheme="minorHAnsi" w:hAnsiTheme="minorHAnsi" w:cstheme="minorHAnsi"/>
          <w:bCs/>
          <w:color w:val="5B9BD5" w:themeColor="accent5"/>
        </w:rPr>
        <w:t xml:space="preserve"> </w:t>
      </w:r>
      <w:r w:rsidRPr="00655543">
        <w:rPr>
          <w:rFonts w:asciiTheme="minorHAnsi" w:hAnsiTheme="minorHAnsi" w:cstheme="minorHAnsi"/>
          <w:bCs/>
          <w:color w:val="auto"/>
        </w:rPr>
        <w:t xml:space="preserve">because </w:t>
      </w:r>
      <w:r>
        <w:rPr>
          <w:rFonts w:asciiTheme="minorHAnsi" w:hAnsiTheme="minorHAnsi" w:cstheme="minorHAnsi"/>
          <w:bCs/>
          <w:color w:val="auto"/>
        </w:rPr>
        <w:t>more</w:t>
      </w:r>
      <w:r w:rsidRPr="00655543">
        <w:rPr>
          <w:rFonts w:asciiTheme="minorHAnsi" w:hAnsiTheme="minorHAnsi" w:cstheme="minorHAnsi"/>
          <w:bCs/>
          <w:color w:val="auto"/>
        </w:rPr>
        <w:t xml:space="preserve"> invasive </w:t>
      </w:r>
      <w:r>
        <w:rPr>
          <w:rFonts w:asciiTheme="minorHAnsi" w:hAnsiTheme="minorHAnsi" w:cstheme="minorHAnsi"/>
          <w:bCs/>
          <w:color w:val="auto"/>
        </w:rPr>
        <w:t>bypass therapy is not</w:t>
      </w:r>
      <w:r w:rsidRPr="00655543">
        <w:rPr>
          <w:rFonts w:asciiTheme="minorHAnsi" w:hAnsiTheme="minorHAnsi" w:cstheme="minorHAnsi"/>
          <w:bCs/>
          <w:color w:val="auto"/>
        </w:rPr>
        <w:t xml:space="preserve"> appropriate and </w:t>
      </w:r>
      <w:r w:rsidRPr="00655543">
        <w:rPr>
          <w:rFonts w:asciiTheme="minorHAnsi" w:hAnsiTheme="minorHAnsi" w:cstheme="minorHAnsi"/>
          <w:bCs/>
          <w:color w:val="5B9BD5" w:themeColor="accent5"/>
        </w:rPr>
        <w:t>[</w:t>
      </w:r>
      <w:r w:rsidRPr="00655543">
        <w:rPr>
          <w:rFonts w:asciiTheme="minorHAnsi" w:hAnsiTheme="minorHAnsi" w:cstheme="minorHAnsi"/>
          <w:bCs/>
          <w:i/>
          <w:color w:val="5B9BD5" w:themeColor="accent5"/>
        </w:rPr>
        <w:t xml:space="preserve">insert rationale, </w:t>
      </w:r>
      <w:proofErr w:type="spellStart"/>
      <w:r w:rsidRPr="00655543">
        <w:rPr>
          <w:rFonts w:asciiTheme="minorHAnsi" w:hAnsiTheme="minorHAnsi" w:cstheme="minorHAnsi"/>
          <w:bCs/>
          <w:i/>
          <w:color w:val="5B9BD5" w:themeColor="accent5"/>
        </w:rPr>
        <w:t>eg.</w:t>
      </w:r>
      <w:proofErr w:type="spellEnd"/>
      <w:r w:rsidRPr="00655543">
        <w:rPr>
          <w:rFonts w:asciiTheme="minorHAnsi" w:hAnsiTheme="minorHAnsi" w:cstheme="minorHAnsi"/>
          <w:bCs/>
          <w:i/>
          <w:color w:val="5B9BD5" w:themeColor="accent5"/>
        </w:rPr>
        <w:t xml:space="preserve"> efficacy in line with </w:t>
      </w:r>
      <w:r>
        <w:rPr>
          <w:rFonts w:asciiTheme="minorHAnsi" w:hAnsiTheme="minorHAnsi" w:cstheme="minorHAnsi"/>
          <w:bCs/>
          <w:i/>
          <w:color w:val="5B9BD5" w:themeColor="accent5"/>
        </w:rPr>
        <w:t>bypass</w:t>
      </w:r>
      <w:r w:rsidRPr="00655543">
        <w:rPr>
          <w:rFonts w:asciiTheme="minorHAnsi" w:hAnsiTheme="minorHAnsi" w:cstheme="minorHAnsi"/>
          <w:bCs/>
          <w:i/>
          <w:color w:val="5B9BD5" w:themeColor="accent5"/>
        </w:rPr>
        <w:t xml:space="preserve"> with fewer adverse events such as </w:t>
      </w:r>
      <w:r>
        <w:rPr>
          <w:rFonts w:asciiTheme="minorHAnsi" w:hAnsiTheme="minorHAnsi" w:cstheme="minorHAnsi"/>
          <w:bCs/>
          <w:i/>
          <w:color w:val="5B9BD5" w:themeColor="accent5"/>
        </w:rPr>
        <w:t>reduced infection, need for transfusions and decreased length of inpatient stay</w:t>
      </w:r>
      <w:r w:rsidRPr="00655543">
        <w:rPr>
          <w:rFonts w:asciiTheme="minorHAnsi" w:hAnsiTheme="minorHAnsi" w:cstheme="minorHAnsi"/>
          <w:bCs/>
          <w:i/>
          <w:color w:val="5B9BD5" w:themeColor="accent5"/>
        </w:rPr>
        <w:t>.]</w:t>
      </w:r>
    </w:p>
    <w:bookmarkEnd w:id="6"/>
    <w:p w14:paraId="13761C3F" w14:textId="77777777" w:rsidR="00E20CAE" w:rsidRPr="00BB2960" w:rsidRDefault="00E20CAE" w:rsidP="00E20CAE">
      <w:pPr>
        <w:pStyle w:val="Default"/>
        <w:spacing w:after="120"/>
        <w:rPr>
          <w:rFonts w:asciiTheme="minorHAnsi" w:hAnsiTheme="minorHAnsi" w:cstheme="minorHAnsi"/>
        </w:rPr>
      </w:pPr>
      <w:r w:rsidRPr="00801819">
        <w:rPr>
          <w:rFonts w:asciiTheme="minorHAnsi" w:hAnsiTheme="minorHAnsi" w:cstheme="minorHAnsi"/>
          <w:b/>
          <w:bCs/>
        </w:rPr>
        <w:t xml:space="preserve">Coding and Charges </w:t>
      </w:r>
    </w:p>
    <w:p w14:paraId="35264AAB" w14:textId="77777777" w:rsidR="00E20CAE" w:rsidRDefault="00E20CAE" w:rsidP="00E20CAE">
      <w:pPr>
        <w:pStyle w:val="Default"/>
        <w:spacing w:after="120"/>
        <w:rPr>
          <w:rFonts w:asciiTheme="minorHAnsi" w:hAnsiTheme="minorHAnsi" w:cstheme="minorHAnsi"/>
        </w:rPr>
      </w:pPr>
      <w:r>
        <w:rPr>
          <w:rFonts w:asciiTheme="minorHAnsi" w:hAnsiTheme="minorHAnsi" w:cstheme="minorHAnsi"/>
        </w:rPr>
        <w:t>The code to report the procedure is:</w:t>
      </w:r>
    </w:p>
    <w:p w14:paraId="190B5B4A" w14:textId="77777777" w:rsidR="00E20CAE" w:rsidRPr="00A232E3" w:rsidRDefault="00E20CAE" w:rsidP="00E20CAE">
      <w:pPr>
        <w:pStyle w:val="Default"/>
        <w:numPr>
          <w:ilvl w:val="0"/>
          <w:numId w:val="4"/>
        </w:numPr>
        <w:spacing w:after="120"/>
        <w:rPr>
          <w:rFonts w:asciiTheme="minorHAnsi" w:hAnsiTheme="minorHAnsi" w:cstheme="minorHAnsi"/>
        </w:rPr>
      </w:pPr>
      <w:bookmarkStart w:id="7" w:name="_Hlk131087476"/>
      <w:r w:rsidRPr="00A232E3">
        <w:rPr>
          <w:rFonts w:asciiTheme="minorHAnsi" w:hAnsiTheme="minorHAnsi" w:cstheme="minorHAnsi"/>
        </w:rPr>
        <w:t>CPT code 0</w:t>
      </w:r>
      <w:r>
        <w:rPr>
          <w:rFonts w:asciiTheme="minorHAnsi" w:hAnsiTheme="minorHAnsi" w:cstheme="minorHAnsi"/>
        </w:rPr>
        <w:t>505</w:t>
      </w:r>
      <w:r w:rsidRPr="00A232E3">
        <w:rPr>
          <w:rFonts w:asciiTheme="minorHAnsi" w:hAnsiTheme="minorHAnsi" w:cstheme="minorHAnsi"/>
        </w:rPr>
        <w:t xml:space="preserve">T </w:t>
      </w:r>
      <w:r w:rsidRPr="005A5A95">
        <w:rPr>
          <w:rFonts w:asciiTheme="minorHAnsi" w:hAnsiTheme="minorHAnsi" w:cstheme="minorHAnsi"/>
        </w:rPr>
        <w:t>Endovenous femoral-popliteal arterial revascularization, with transcatheter placement of intravascular stent graft(s) and closure by any method, including percutaneous or open vascular access, ultrasound guidance for vascular access when performed, all catheterization(s) and intraprocedural roadmapping and imaging guidance necessary to complete the intervention, all associated radiological supervision and interpretation, when performed, with crossing of the occlusive lesion in an extraluminal fashion</w:t>
      </w:r>
      <w:bookmarkEnd w:id="7"/>
    </w:p>
    <w:p w14:paraId="6CB4A601" w14:textId="77777777" w:rsidR="00E20CAE" w:rsidRPr="00D90C76" w:rsidRDefault="00E20CAE" w:rsidP="00E20CAE">
      <w:pPr>
        <w:pStyle w:val="Default"/>
        <w:spacing w:after="120"/>
        <w:rPr>
          <w:rFonts w:asciiTheme="minorHAnsi" w:hAnsiTheme="minorHAnsi" w:cstheme="minorHAnsi"/>
          <w:i/>
          <w:color w:val="5B9BD5" w:themeColor="accent5"/>
        </w:rPr>
      </w:pPr>
      <w:r w:rsidRPr="00EC0163">
        <w:rPr>
          <w:rFonts w:asciiTheme="minorHAnsi" w:hAnsiTheme="minorHAnsi" w:cstheme="minorHAnsi"/>
        </w:rPr>
        <w:t xml:space="preserve">My charge is $ </w:t>
      </w:r>
      <w:r w:rsidRPr="00EC0163">
        <w:rPr>
          <w:rFonts w:asciiTheme="minorHAnsi" w:hAnsiTheme="minorHAnsi" w:cstheme="minorHAnsi"/>
          <w:color w:val="5B9BD5" w:themeColor="accent5"/>
        </w:rPr>
        <w:t>[fill in your charge]</w:t>
      </w:r>
      <w:r>
        <w:rPr>
          <w:rFonts w:asciiTheme="minorHAnsi" w:hAnsiTheme="minorHAnsi" w:cstheme="minorHAnsi"/>
          <w:color w:val="5B9BD5" w:themeColor="accent5"/>
        </w:rPr>
        <w:t xml:space="preserve"> </w:t>
      </w:r>
      <w:r w:rsidRPr="00D90C76">
        <w:rPr>
          <w:rFonts w:asciiTheme="minorHAnsi" w:hAnsiTheme="minorHAnsi" w:cstheme="minorHAnsi"/>
          <w:color w:val="auto"/>
        </w:rPr>
        <w:t xml:space="preserve">based on the comparative procedure work to </w:t>
      </w:r>
      <w:r w:rsidRPr="00D90C76">
        <w:rPr>
          <w:rFonts w:asciiTheme="minorHAnsi" w:hAnsiTheme="minorHAnsi" w:cstheme="minorHAnsi"/>
          <w:i/>
          <w:color w:val="5B9BD5" w:themeColor="accent5"/>
        </w:rPr>
        <w:t>[insert procedure name/CPT code</w:t>
      </w:r>
      <w:r>
        <w:rPr>
          <w:rFonts w:asciiTheme="minorHAnsi" w:hAnsiTheme="minorHAnsi" w:cstheme="minorHAnsi"/>
          <w:i/>
          <w:color w:val="5B9BD5" w:themeColor="accent5"/>
        </w:rPr>
        <w:t>, for example,</w:t>
      </w:r>
      <w:r w:rsidRPr="00D90C76">
        <w:rPr>
          <w:rFonts w:asciiTheme="minorHAnsi" w:hAnsiTheme="minorHAnsi" w:cstheme="minorHAnsi"/>
          <w:i/>
          <w:color w:val="5B9BD5" w:themeColor="accent5"/>
        </w:rPr>
        <w:t xml:space="preserve"> </w:t>
      </w:r>
      <w:r>
        <w:rPr>
          <w:rFonts w:asciiTheme="minorHAnsi" w:hAnsiTheme="minorHAnsi" w:cstheme="minorHAnsi"/>
          <w:i/>
          <w:color w:val="5B9BD5" w:themeColor="accent5"/>
        </w:rPr>
        <w:t>bypass graft with vein (35556) or synthetic (35656)</w:t>
      </w:r>
      <w:r w:rsidRPr="00D90C76">
        <w:rPr>
          <w:rFonts w:asciiTheme="minorHAnsi" w:hAnsiTheme="minorHAnsi" w:cstheme="minorHAnsi"/>
          <w:i/>
          <w:color w:val="5B9BD5" w:themeColor="accent5"/>
        </w:rPr>
        <w:t>]</w:t>
      </w:r>
    </w:p>
    <w:p w14:paraId="69516594" w14:textId="2C664272" w:rsidR="00E20CAE" w:rsidRPr="00801819" w:rsidRDefault="00E20CAE" w:rsidP="00E20CAE">
      <w:pPr>
        <w:pStyle w:val="Default"/>
        <w:spacing w:after="120"/>
        <w:rPr>
          <w:rFonts w:asciiTheme="minorHAnsi" w:hAnsiTheme="minorHAnsi" w:cstheme="minorHAnsi"/>
        </w:rPr>
      </w:pPr>
      <w:r w:rsidRPr="00801819">
        <w:rPr>
          <w:rFonts w:asciiTheme="minorHAnsi" w:hAnsiTheme="minorHAnsi" w:cstheme="minorHAnsi"/>
        </w:rPr>
        <w:t xml:space="preserve">This procedure </w:t>
      </w:r>
      <w:r w:rsidR="00571AB3">
        <w:rPr>
          <w:rFonts w:asciiTheme="minorHAnsi" w:hAnsiTheme="minorHAnsi" w:cstheme="minorHAnsi"/>
        </w:rPr>
        <w:t>was</w:t>
      </w:r>
      <w:r w:rsidRPr="00801819">
        <w:rPr>
          <w:rFonts w:asciiTheme="minorHAnsi" w:hAnsiTheme="minorHAnsi" w:cstheme="minorHAnsi"/>
        </w:rPr>
        <w:t xml:space="preserve"> performed on </w:t>
      </w:r>
      <w:r w:rsidRPr="00655543">
        <w:rPr>
          <w:rFonts w:asciiTheme="minorHAnsi" w:hAnsiTheme="minorHAnsi" w:cstheme="minorHAnsi"/>
          <w:color w:val="5B9BD5" w:themeColor="accent5"/>
        </w:rPr>
        <w:t>[</w:t>
      </w:r>
      <w:r>
        <w:rPr>
          <w:rFonts w:asciiTheme="minorHAnsi" w:hAnsiTheme="minorHAnsi" w:cstheme="minorHAnsi"/>
          <w:i/>
          <w:iCs/>
          <w:color w:val="5B9BD5" w:themeColor="accent5"/>
        </w:rPr>
        <w:t xml:space="preserve">indicate </w:t>
      </w:r>
      <w:r w:rsidR="00571AB3">
        <w:rPr>
          <w:rFonts w:asciiTheme="minorHAnsi" w:hAnsiTheme="minorHAnsi" w:cstheme="minorHAnsi"/>
          <w:i/>
          <w:iCs/>
          <w:color w:val="5B9BD5" w:themeColor="accent5"/>
        </w:rPr>
        <w:t>procedure</w:t>
      </w:r>
      <w:r>
        <w:rPr>
          <w:rFonts w:asciiTheme="minorHAnsi" w:hAnsiTheme="minorHAnsi" w:cstheme="minorHAnsi"/>
          <w:i/>
          <w:iCs/>
          <w:color w:val="5B9BD5" w:themeColor="accent5"/>
        </w:rPr>
        <w:t xml:space="preserve"> date</w:t>
      </w:r>
      <w:r w:rsidRPr="00655543">
        <w:rPr>
          <w:rFonts w:asciiTheme="minorHAnsi" w:hAnsiTheme="minorHAnsi" w:cstheme="minorHAnsi"/>
          <w:i/>
          <w:iCs/>
          <w:color w:val="5B9BD5" w:themeColor="accent5"/>
        </w:rPr>
        <w:t xml:space="preserve">] </w:t>
      </w:r>
      <w:r w:rsidRPr="00801819">
        <w:rPr>
          <w:rFonts w:asciiTheme="minorHAnsi" w:hAnsiTheme="minorHAnsi" w:cstheme="minorHAnsi"/>
        </w:rPr>
        <w:t xml:space="preserve">at </w:t>
      </w:r>
      <w:r w:rsidRPr="00655543">
        <w:rPr>
          <w:rFonts w:asciiTheme="minorHAnsi" w:hAnsiTheme="minorHAnsi" w:cstheme="minorHAnsi"/>
          <w:i/>
          <w:color w:val="5B9BD5" w:themeColor="accent5"/>
        </w:rPr>
        <w:t xml:space="preserve">[indicate site of service and name of facility where the procedure </w:t>
      </w:r>
      <w:r w:rsidR="00571AB3">
        <w:rPr>
          <w:rFonts w:asciiTheme="minorHAnsi" w:hAnsiTheme="minorHAnsi" w:cstheme="minorHAnsi"/>
          <w:i/>
          <w:color w:val="5B9BD5" w:themeColor="accent5"/>
        </w:rPr>
        <w:t>was</w:t>
      </w:r>
      <w:r w:rsidRPr="00655543">
        <w:rPr>
          <w:rFonts w:asciiTheme="minorHAnsi" w:hAnsiTheme="minorHAnsi" w:cstheme="minorHAnsi"/>
          <w:i/>
          <w:color w:val="5B9BD5" w:themeColor="accent5"/>
        </w:rPr>
        <w:t xml:space="preserve"> </w:t>
      </w:r>
      <w:r w:rsidRPr="00655543">
        <w:rPr>
          <w:rFonts w:asciiTheme="minorHAnsi" w:hAnsiTheme="minorHAnsi" w:cstheme="minorHAnsi"/>
          <w:i/>
          <w:iCs/>
          <w:color w:val="5B9BD5" w:themeColor="accent5"/>
        </w:rPr>
        <w:t xml:space="preserve">performed]. </w:t>
      </w:r>
    </w:p>
    <w:p w14:paraId="72B2CA49" w14:textId="77777777" w:rsidR="00E20CAE" w:rsidRDefault="00E20CAE" w:rsidP="00E20CAE">
      <w:pPr>
        <w:pStyle w:val="Default"/>
        <w:spacing w:after="120"/>
        <w:rPr>
          <w:rFonts w:asciiTheme="minorHAnsi" w:hAnsiTheme="minorHAnsi" w:cstheme="minorHAnsi"/>
        </w:rPr>
      </w:pPr>
      <w:r>
        <w:rPr>
          <w:rFonts w:asciiTheme="minorHAnsi" w:hAnsiTheme="minorHAnsi" w:cstheme="minorHAnsi"/>
        </w:rPr>
        <w:t>F</w:t>
      </w:r>
      <w:r w:rsidRPr="00801819">
        <w:rPr>
          <w:rFonts w:asciiTheme="minorHAnsi" w:hAnsiTheme="minorHAnsi" w:cstheme="minorHAnsi"/>
        </w:rPr>
        <w:t>eel free to contact me if you would like additional information about the treatment or patient case. My contact information is</w:t>
      </w:r>
      <w:r>
        <w:rPr>
          <w:rFonts w:asciiTheme="minorHAnsi" w:hAnsiTheme="minorHAnsi" w:cstheme="minorHAnsi"/>
        </w:rPr>
        <w:t>:</w:t>
      </w:r>
      <w:r w:rsidRPr="00801819">
        <w:rPr>
          <w:rFonts w:asciiTheme="minorHAnsi" w:hAnsiTheme="minorHAnsi" w:cstheme="minorHAnsi"/>
        </w:rPr>
        <w:t xml:space="preserve"> </w:t>
      </w:r>
    </w:p>
    <w:p w14:paraId="50074575" w14:textId="77777777" w:rsidR="00E20CAE" w:rsidRPr="00655543" w:rsidRDefault="00E20CAE" w:rsidP="00E20CAE">
      <w:pPr>
        <w:pStyle w:val="Default"/>
        <w:spacing w:after="120"/>
        <w:rPr>
          <w:rFonts w:asciiTheme="minorHAnsi" w:hAnsiTheme="minorHAnsi" w:cstheme="minorHAnsi"/>
          <w:i/>
          <w:color w:val="5B9BD5" w:themeColor="accent5"/>
        </w:rPr>
      </w:pPr>
      <w:r w:rsidRPr="00655543">
        <w:rPr>
          <w:rFonts w:asciiTheme="minorHAnsi" w:hAnsiTheme="minorHAnsi" w:cstheme="minorHAnsi"/>
          <w:i/>
          <w:color w:val="5B9BD5" w:themeColor="accent5"/>
        </w:rPr>
        <w:t>[Physician contact].</w:t>
      </w:r>
    </w:p>
    <w:p w14:paraId="42008BEB" w14:textId="77777777" w:rsidR="00E20CAE" w:rsidRPr="00801819" w:rsidRDefault="00E20CAE" w:rsidP="00E20CAE">
      <w:pPr>
        <w:spacing w:after="120" w:line="240" w:lineRule="auto"/>
        <w:rPr>
          <w:rFonts w:cstheme="minorHAnsi"/>
          <w:sz w:val="24"/>
          <w:szCs w:val="24"/>
        </w:rPr>
      </w:pPr>
      <w:r w:rsidRPr="00801819">
        <w:rPr>
          <w:rFonts w:cstheme="minorHAnsi"/>
          <w:sz w:val="24"/>
          <w:szCs w:val="24"/>
        </w:rPr>
        <w:t>Sincerely,</w:t>
      </w:r>
    </w:p>
    <w:p w14:paraId="2A049E39" w14:textId="77777777" w:rsidR="00E20CAE" w:rsidRPr="00655543" w:rsidRDefault="00E20CAE" w:rsidP="00E20CAE">
      <w:pPr>
        <w:spacing w:after="120" w:line="240" w:lineRule="auto"/>
        <w:rPr>
          <w:rFonts w:cstheme="minorHAnsi"/>
          <w:i/>
          <w:color w:val="5B9BD5" w:themeColor="accent5"/>
          <w:sz w:val="24"/>
          <w:szCs w:val="24"/>
        </w:rPr>
      </w:pPr>
      <w:r w:rsidRPr="00655543">
        <w:rPr>
          <w:rFonts w:cstheme="minorHAnsi"/>
          <w:i/>
          <w:color w:val="5B9BD5" w:themeColor="accent5"/>
          <w:sz w:val="24"/>
          <w:szCs w:val="24"/>
        </w:rPr>
        <w:t>[Name and credentials of treating surgeon]</w:t>
      </w:r>
    </w:p>
    <w:p w14:paraId="0E36C11C" w14:textId="77777777" w:rsidR="00E20CAE" w:rsidRDefault="00E20CAE" w:rsidP="00E20CAE">
      <w:pPr>
        <w:spacing w:after="120" w:line="240" w:lineRule="auto"/>
        <w:rPr>
          <w:rFonts w:cstheme="minorHAnsi"/>
          <w:color w:val="5B9BD5" w:themeColor="accent5"/>
          <w:sz w:val="24"/>
          <w:szCs w:val="24"/>
        </w:rPr>
      </w:pPr>
    </w:p>
    <w:p w14:paraId="4C5F8690" w14:textId="722B12E3" w:rsidR="00801819" w:rsidRDefault="00801819" w:rsidP="00E20CAE">
      <w:pPr>
        <w:pStyle w:val="Default"/>
        <w:jc w:val="center"/>
        <w:rPr>
          <w:rFonts w:cstheme="minorHAnsi"/>
          <w:color w:val="5B9BD5" w:themeColor="accent5"/>
        </w:rPr>
      </w:pPr>
    </w:p>
    <w:sectPr w:rsidR="00801819" w:rsidSect="00D9593C">
      <w:footerReference w:type="first" r:id="rId8"/>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0616" w14:textId="77777777" w:rsidR="00684D86" w:rsidRDefault="00684D86" w:rsidP="00082F83">
      <w:pPr>
        <w:spacing w:after="0" w:line="240" w:lineRule="auto"/>
      </w:pPr>
      <w:r>
        <w:separator/>
      </w:r>
    </w:p>
  </w:endnote>
  <w:endnote w:type="continuationSeparator" w:id="0">
    <w:p w14:paraId="6474E62D" w14:textId="77777777" w:rsidR="00684D86" w:rsidRDefault="00684D86" w:rsidP="0008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D4E7" w14:textId="7B387117" w:rsidR="004D7F7D" w:rsidRDefault="004D7F7D">
    <w:pPr>
      <w:pStyle w:val="Footer"/>
    </w:pPr>
    <w:r>
      <w:t>PTAB with the DETOUR System Sample Preauthorization Letter</w:t>
    </w:r>
    <w:r>
      <w:ptab w:relativeTo="margin" w:alignment="right" w:leader="none"/>
    </w:r>
    <w:r>
      <w:t xml:space="preserve">MM2708-US Rev 01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1EEA" w14:textId="77777777" w:rsidR="00684D86" w:rsidRDefault="00684D86" w:rsidP="00082F83">
      <w:pPr>
        <w:spacing w:after="0" w:line="240" w:lineRule="auto"/>
      </w:pPr>
      <w:r>
        <w:separator/>
      </w:r>
    </w:p>
  </w:footnote>
  <w:footnote w:type="continuationSeparator" w:id="0">
    <w:p w14:paraId="3C235ECD" w14:textId="77777777" w:rsidR="00684D86" w:rsidRDefault="00684D86" w:rsidP="00082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633"/>
    <w:multiLevelType w:val="hybridMultilevel"/>
    <w:tmpl w:val="4148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66391"/>
    <w:multiLevelType w:val="hybridMultilevel"/>
    <w:tmpl w:val="F7D42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AE1D73"/>
    <w:multiLevelType w:val="hybridMultilevel"/>
    <w:tmpl w:val="07382D16"/>
    <w:lvl w:ilvl="0" w:tplc="10B44344">
      <w:start w:val="1"/>
      <w:numFmt w:val="bullet"/>
      <w:lvlText w:val="•"/>
      <w:lvlJc w:val="left"/>
      <w:pPr>
        <w:tabs>
          <w:tab w:val="num" w:pos="720"/>
        </w:tabs>
        <w:ind w:left="720" w:hanging="360"/>
      </w:pPr>
      <w:rPr>
        <w:rFonts w:ascii="Arial" w:hAnsi="Arial" w:hint="default"/>
      </w:rPr>
    </w:lvl>
    <w:lvl w:ilvl="1" w:tplc="DF0C5A48" w:tentative="1">
      <w:start w:val="1"/>
      <w:numFmt w:val="bullet"/>
      <w:lvlText w:val="•"/>
      <w:lvlJc w:val="left"/>
      <w:pPr>
        <w:tabs>
          <w:tab w:val="num" w:pos="1440"/>
        </w:tabs>
        <w:ind w:left="1440" w:hanging="360"/>
      </w:pPr>
      <w:rPr>
        <w:rFonts w:ascii="Arial" w:hAnsi="Arial" w:hint="default"/>
      </w:rPr>
    </w:lvl>
    <w:lvl w:ilvl="2" w:tplc="D6483E7E" w:tentative="1">
      <w:start w:val="1"/>
      <w:numFmt w:val="bullet"/>
      <w:lvlText w:val="•"/>
      <w:lvlJc w:val="left"/>
      <w:pPr>
        <w:tabs>
          <w:tab w:val="num" w:pos="2160"/>
        </w:tabs>
        <w:ind w:left="2160" w:hanging="360"/>
      </w:pPr>
      <w:rPr>
        <w:rFonts w:ascii="Arial" w:hAnsi="Arial" w:hint="default"/>
      </w:rPr>
    </w:lvl>
    <w:lvl w:ilvl="3" w:tplc="D0CA6054" w:tentative="1">
      <w:start w:val="1"/>
      <w:numFmt w:val="bullet"/>
      <w:lvlText w:val="•"/>
      <w:lvlJc w:val="left"/>
      <w:pPr>
        <w:tabs>
          <w:tab w:val="num" w:pos="2880"/>
        </w:tabs>
        <w:ind w:left="2880" w:hanging="360"/>
      </w:pPr>
      <w:rPr>
        <w:rFonts w:ascii="Arial" w:hAnsi="Arial" w:hint="default"/>
      </w:rPr>
    </w:lvl>
    <w:lvl w:ilvl="4" w:tplc="CABE7118" w:tentative="1">
      <w:start w:val="1"/>
      <w:numFmt w:val="bullet"/>
      <w:lvlText w:val="•"/>
      <w:lvlJc w:val="left"/>
      <w:pPr>
        <w:tabs>
          <w:tab w:val="num" w:pos="3600"/>
        </w:tabs>
        <w:ind w:left="3600" w:hanging="360"/>
      </w:pPr>
      <w:rPr>
        <w:rFonts w:ascii="Arial" w:hAnsi="Arial" w:hint="default"/>
      </w:rPr>
    </w:lvl>
    <w:lvl w:ilvl="5" w:tplc="1696D7F8" w:tentative="1">
      <w:start w:val="1"/>
      <w:numFmt w:val="bullet"/>
      <w:lvlText w:val="•"/>
      <w:lvlJc w:val="left"/>
      <w:pPr>
        <w:tabs>
          <w:tab w:val="num" w:pos="4320"/>
        </w:tabs>
        <w:ind w:left="4320" w:hanging="360"/>
      </w:pPr>
      <w:rPr>
        <w:rFonts w:ascii="Arial" w:hAnsi="Arial" w:hint="default"/>
      </w:rPr>
    </w:lvl>
    <w:lvl w:ilvl="6" w:tplc="DAB87EB8" w:tentative="1">
      <w:start w:val="1"/>
      <w:numFmt w:val="bullet"/>
      <w:lvlText w:val="•"/>
      <w:lvlJc w:val="left"/>
      <w:pPr>
        <w:tabs>
          <w:tab w:val="num" w:pos="5040"/>
        </w:tabs>
        <w:ind w:left="5040" w:hanging="360"/>
      </w:pPr>
      <w:rPr>
        <w:rFonts w:ascii="Arial" w:hAnsi="Arial" w:hint="default"/>
      </w:rPr>
    </w:lvl>
    <w:lvl w:ilvl="7" w:tplc="E77AB6CA" w:tentative="1">
      <w:start w:val="1"/>
      <w:numFmt w:val="bullet"/>
      <w:lvlText w:val="•"/>
      <w:lvlJc w:val="left"/>
      <w:pPr>
        <w:tabs>
          <w:tab w:val="num" w:pos="5760"/>
        </w:tabs>
        <w:ind w:left="5760" w:hanging="360"/>
      </w:pPr>
      <w:rPr>
        <w:rFonts w:ascii="Arial" w:hAnsi="Arial" w:hint="default"/>
      </w:rPr>
    </w:lvl>
    <w:lvl w:ilvl="8" w:tplc="F134D9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AF09DE"/>
    <w:multiLevelType w:val="hybridMultilevel"/>
    <w:tmpl w:val="5348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3628B"/>
    <w:multiLevelType w:val="hybridMultilevel"/>
    <w:tmpl w:val="7A18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9402E6"/>
    <w:multiLevelType w:val="hybridMultilevel"/>
    <w:tmpl w:val="DD02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809016">
    <w:abstractNumId w:val="1"/>
  </w:num>
  <w:num w:numId="2" w16cid:durableId="1149715062">
    <w:abstractNumId w:val="4"/>
  </w:num>
  <w:num w:numId="3" w16cid:durableId="2143426948">
    <w:abstractNumId w:val="3"/>
  </w:num>
  <w:num w:numId="4" w16cid:durableId="2100371436">
    <w:abstractNumId w:val="5"/>
  </w:num>
  <w:num w:numId="5" w16cid:durableId="1699306620">
    <w:abstractNumId w:val="2"/>
  </w:num>
  <w:num w:numId="6" w16cid:durableId="118524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Q3MTe0NDMwNzO0MDNT0lEKTi0uzszPAykwNKkFAFujC7ItAAAA"/>
  </w:docVars>
  <w:rsids>
    <w:rsidRoot w:val="00122028"/>
    <w:rsid w:val="00025DC9"/>
    <w:rsid w:val="00035088"/>
    <w:rsid w:val="00050B94"/>
    <w:rsid w:val="000674E6"/>
    <w:rsid w:val="00077596"/>
    <w:rsid w:val="00082F83"/>
    <w:rsid w:val="00092766"/>
    <w:rsid w:val="000A05FA"/>
    <w:rsid w:val="000A087F"/>
    <w:rsid w:val="000D0BA4"/>
    <w:rsid w:val="000E46FE"/>
    <w:rsid w:val="0010220C"/>
    <w:rsid w:val="00122028"/>
    <w:rsid w:val="00130559"/>
    <w:rsid w:val="00174DDE"/>
    <w:rsid w:val="00175C97"/>
    <w:rsid w:val="00180560"/>
    <w:rsid w:val="00194810"/>
    <w:rsid w:val="001B65BF"/>
    <w:rsid w:val="001E0655"/>
    <w:rsid w:val="001F098E"/>
    <w:rsid w:val="00201F33"/>
    <w:rsid w:val="00210EB3"/>
    <w:rsid w:val="00214676"/>
    <w:rsid w:val="00256C29"/>
    <w:rsid w:val="00261B05"/>
    <w:rsid w:val="002639EC"/>
    <w:rsid w:val="002730B1"/>
    <w:rsid w:val="00280CAB"/>
    <w:rsid w:val="00296683"/>
    <w:rsid w:val="002A0F85"/>
    <w:rsid w:val="002A14B6"/>
    <w:rsid w:val="002A5E34"/>
    <w:rsid w:val="002B1641"/>
    <w:rsid w:val="002D31A9"/>
    <w:rsid w:val="002F277F"/>
    <w:rsid w:val="00317E35"/>
    <w:rsid w:val="00320613"/>
    <w:rsid w:val="0034045B"/>
    <w:rsid w:val="00344042"/>
    <w:rsid w:val="0034512D"/>
    <w:rsid w:val="003461F4"/>
    <w:rsid w:val="00361A7C"/>
    <w:rsid w:val="003645AD"/>
    <w:rsid w:val="00365713"/>
    <w:rsid w:val="0036741A"/>
    <w:rsid w:val="00372729"/>
    <w:rsid w:val="003B6425"/>
    <w:rsid w:val="003C1719"/>
    <w:rsid w:val="003D34A9"/>
    <w:rsid w:val="003F0B88"/>
    <w:rsid w:val="00422D24"/>
    <w:rsid w:val="00427D89"/>
    <w:rsid w:val="0045644A"/>
    <w:rsid w:val="004613F7"/>
    <w:rsid w:val="004772C5"/>
    <w:rsid w:val="00477EF4"/>
    <w:rsid w:val="00484723"/>
    <w:rsid w:val="0048537F"/>
    <w:rsid w:val="004B6B6E"/>
    <w:rsid w:val="004C6615"/>
    <w:rsid w:val="004D7F7D"/>
    <w:rsid w:val="004E5C56"/>
    <w:rsid w:val="004E66CC"/>
    <w:rsid w:val="00521C5C"/>
    <w:rsid w:val="00531316"/>
    <w:rsid w:val="00550DD7"/>
    <w:rsid w:val="00553585"/>
    <w:rsid w:val="00571AB3"/>
    <w:rsid w:val="00576CA9"/>
    <w:rsid w:val="00587FFD"/>
    <w:rsid w:val="00590178"/>
    <w:rsid w:val="005A5A95"/>
    <w:rsid w:val="005B207D"/>
    <w:rsid w:val="005B459D"/>
    <w:rsid w:val="005B6117"/>
    <w:rsid w:val="005C0D61"/>
    <w:rsid w:val="005D09AA"/>
    <w:rsid w:val="005D15B0"/>
    <w:rsid w:val="005E49FD"/>
    <w:rsid w:val="00622801"/>
    <w:rsid w:val="006242FB"/>
    <w:rsid w:val="00651B6B"/>
    <w:rsid w:val="00655543"/>
    <w:rsid w:val="00660754"/>
    <w:rsid w:val="00673CA5"/>
    <w:rsid w:val="00684D86"/>
    <w:rsid w:val="00687D9C"/>
    <w:rsid w:val="00695F9C"/>
    <w:rsid w:val="006A0193"/>
    <w:rsid w:val="006A1BBE"/>
    <w:rsid w:val="006B7A1E"/>
    <w:rsid w:val="006C3F34"/>
    <w:rsid w:val="006C7354"/>
    <w:rsid w:val="006D182C"/>
    <w:rsid w:val="006F47E8"/>
    <w:rsid w:val="007008DC"/>
    <w:rsid w:val="007128FA"/>
    <w:rsid w:val="00713B23"/>
    <w:rsid w:val="00716112"/>
    <w:rsid w:val="0072116E"/>
    <w:rsid w:val="007274EA"/>
    <w:rsid w:val="00750AC4"/>
    <w:rsid w:val="00753633"/>
    <w:rsid w:val="007556B0"/>
    <w:rsid w:val="007E5180"/>
    <w:rsid w:val="00801819"/>
    <w:rsid w:val="00821FC1"/>
    <w:rsid w:val="0082320A"/>
    <w:rsid w:val="00825B15"/>
    <w:rsid w:val="0084401C"/>
    <w:rsid w:val="00854381"/>
    <w:rsid w:val="00862109"/>
    <w:rsid w:val="0088293B"/>
    <w:rsid w:val="00890D24"/>
    <w:rsid w:val="00896BF1"/>
    <w:rsid w:val="0089780D"/>
    <w:rsid w:val="008A044D"/>
    <w:rsid w:val="008E0FFD"/>
    <w:rsid w:val="008F2ABC"/>
    <w:rsid w:val="0090206C"/>
    <w:rsid w:val="0090485C"/>
    <w:rsid w:val="00913D32"/>
    <w:rsid w:val="0091571D"/>
    <w:rsid w:val="009501C0"/>
    <w:rsid w:val="00960479"/>
    <w:rsid w:val="00964763"/>
    <w:rsid w:val="00967917"/>
    <w:rsid w:val="009747DC"/>
    <w:rsid w:val="009764BB"/>
    <w:rsid w:val="009916A9"/>
    <w:rsid w:val="00997D9F"/>
    <w:rsid w:val="009A4204"/>
    <w:rsid w:val="009E5E4D"/>
    <w:rsid w:val="00A038BF"/>
    <w:rsid w:val="00A232E3"/>
    <w:rsid w:val="00A27D52"/>
    <w:rsid w:val="00A30A60"/>
    <w:rsid w:val="00A459C2"/>
    <w:rsid w:val="00A50892"/>
    <w:rsid w:val="00A52A73"/>
    <w:rsid w:val="00A5457B"/>
    <w:rsid w:val="00A6320E"/>
    <w:rsid w:val="00A642FD"/>
    <w:rsid w:val="00A71D5E"/>
    <w:rsid w:val="00A75D84"/>
    <w:rsid w:val="00A84BA0"/>
    <w:rsid w:val="00A9383F"/>
    <w:rsid w:val="00AC25D1"/>
    <w:rsid w:val="00B021C2"/>
    <w:rsid w:val="00B12B76"/>
    <w:rsid w:val="00B162BE"/>
    <w:rsid w:val="00B178EB"/>
    <w:rsid w:val="00B31389"/>
    <w:rsid w:val="00B34AEE"/>
    <w:rsid w:val="00B41153"/>
    <w:rsid w:val="00B479F6"/>
    <w:rsid w:val="00B52C85"/>
    <w:rsid w:val="00B66E74"/>
    <w:rsid w:val="00B73BBC"/>
    <w:rsid w:val="00B7772B"/>
    <w:rsid w:val="00B971D8"/>
    <w:rsid w:val="00BB2960"/>
    <w:rsid w:val="00BD7226"/>
    <w:rsid w:val="00C13A3D"/>
    <w:rsid w:val="00C21224"/>
    <w:rsid w:val="00C21AA2"/>
    <w:rsid w:val="00C2732F"/>
    <w:rsid w:val="00C46020"/>
    <w:rsid w:val="00C46441"/>
    <w:rsid w:val="00C567E9"/>
    <w:rsid w:val="00C721C2"/>
    <w:rsid w:val="00C80B2F"/>
    <w:rsid w:val="00C829F9"/>
    <w:rsid w:val="00C973B1"/>
    <w:rsid w:val="00CA2F5B"/>
    <w:rsid w:val="00CB4BAB"/>
    <w:rsid w:val="00CB759A"/>
    <w:rsid w:val="00CC748B"/>
    <w:rsid w:val="00CD0624"/>
    <w:rsid w:val="00CF7ED1"/>
    <w:rsid w:val="00D06D9C"/>
    <w:rsid w:val="00D07FE2"/>
    <w:rsid w:val="00D108FF"/>
    <w:rsid w:val="00D11213"/>
    <w:rsid w:val="00D13959"/>
    <w:rsid w:val="00D1398E"/>
    <w:rsid w:val="00D25814"/>
    <w:rsid w:val="00D377EA"/>
    <w:rsid w:val="00D500B1"/>
    <w:rsid w:val="00D71BAD"/>
    <w:rsid w:val="00D8035D"/>
    <w:rsid w:val="00D83C59"/>
    <w:rsid w:val="00D846C8"/>
    <w:rsid w:val="00D90C76"/>
    <w:rsid w:val="00D9593C"/>
    <w:rsid w:val="00DA26A5"/>
    <w:rsid w:val="00DA43A2"/>
    <w:rsid w:val="00DA7CC1"/>
    <w:rsid w:val="00DB3E55"/>
    <w:rsid w:val="00DB44E3"/>
    <w:rsid w:val="00DC7476"/>
    <w:rsid w:val="00E11740"/>
    <w:rsid w:val="00E14942"/>
    <w:rsid w:val="00E20CAE"/>
    <w:rsid w:val="00E30EE4"/>
    <w:rsid w:val="00E31454"/>
    <w:rsid w:val="00E36640"/>
    <w:rsid w:val="00E40EFF"/>
    <w:rsid w:val="00E41A6D"/>
    <w:rsid w:val="00E60575"/>
    <w:rsid w:val="00E76170"/>
    <w:rsid w:val="00E77E31"/>
    <w:rsid w:val="00E87E49"/>
    <w:rsid w:val="00EC0163"/>
    <w:rsid w:val="00EC781F"/>
    <w:rsid w:val="00ED1526"/>
    <w:rsid w:val="00ED2C9F"/>
    <w:rsid w:val="00EF0D74"/>
    <w:rsid w:val="00F07EA8"/>
    <w:rsid w:val="00F10663"/>
    <w:rsid w:val="00F11CD5"/>
    <w:rsid w:val="00F1413C"/>
    <w:rsid w:val="00F26044"/>
    <w:rsid w:val="00F702A8"/>
    <w:rsid w:val="00F73AC4"/>
    <w:rsid w:val="00FA0C07"/>
    <w:rsid w:val="00FB3D8A"/>
    <w:rsid w:val="00FB41BB"/>
    <w:rsid w:val="00FC1184"/>
    <w:rsid w:val="00FC12E5"/>
    <w:rsid w:val="00FC7074"/>
    <w:rsid w:val="00FE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3827"/>
  <w15:chartTrackingRefBased/>
  <w15:docId w15:val="{18663F57-1FF3-4E01-B24F-04E9F6B2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202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82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F83"/>
  </w:style>
  <w:style w:type="paragraph" w:styleId="Footer">
    <w:name w:val="footer"/>
    <w:basedOn w:val="Normal"/>
    <w:link w:val="FooterChar"/>
    <w:uiPriority w:val="99"/>
    <w:unhideWhenUsed/>
    <w:rsid w:val="00082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F83"/>
  </w:style>
  <w:style w:type="character" w:styleId="CommentReference">
    <w:name w:val="annotation reference"/>
    <w:basedOn w:val="DefaultParagraphFont"/>
    <w:uiPriority w:val="99"/>
    <w:semiHidden/>
    <w:unhideWhenUsed/>
    <w:rsid w:val="009501C0"/>
    <w:rPr>
      <w:sz w:val="16"/>
      <w:szCs w:val="16"/>
    </w:rPr>
  </w:style>
  <w:style w:type="paragraph" w:styleId="CommentText">
    <w:name w:val="annotation text"/>
    <w:basedOn w:val="Normal"/>
    <w:link w:val="CommentTextChar"/>
    <w:uiPriority w:val="99"/>
    <w:unhideWhenUsed/>
    <w:rsid w:val="009501C0"/>
    <w:pPr>
      <w:spacing w:line="240" w:lineRule="auto"/>
    </w:pPr>
    <w:rPr>
      <w:sz w:val="20"/>
      <w:szCs w:val="20"/>
    </w:rPr>
  </w:style>
  <w:style w:type="character" w:customStyle="1" w:styleId="CommentTextChar">
    <w:name w:val="Comment Text Char"/>
    <w:basedOn w:val="DefaultParagraphFont"/>
    <w:link w:val="CommentText"/>
    <w:uiPriority w:val="99"/>
    <w:rsid w:val="009501C0"/>
    <w:rPr>
      <w:sz w:val="20"/>
      <w:szCs w:val="20"/>
    </w:rPr>
  </w:style>
  <w:style w:type="paragraph" w:styleId="CommentSubject">
    <w:name w:val="annotation subject"/>
    <w:basedOn w:val="CommentText"/>
    <w:next w:val="CommentText"/>
    <w:link w:val="CommentSubjectChar"/>
    <w:uiPriority w:val="99"/>
    <w:semiHidden/>
    <w:unhideWhenUsed/>
    <w:rsid w:val="009501C0"/>
    <w:rPr>
      <w:b/>
      <w:bCs/>
    </w:rPr>
  </w:style>
  <w:style w:type="character" w:customStyle="1" w:styleId="CommentSubjectChar">
    <w:name w:val="Comment Subject Char"/>
    <w:basedOn w:val="CommentTextChar"/>
    <w:link w:val="CommentSubject"/>
    <w:uiPriority w:val="99"/>
    <w:semiHidden/>
    <w:rsid w:val="009501C0"/>
    <w:rPr>
      <w:b/>
      <w:bCs/>
      <w:sz w:val="20"/>
      <w:szCs w:val="20"/>
    </w:rPr>
  </w:style>
  <w:style w:type="paragraph" w:styleId="BalloonText">
    <w:name w:val="Balloon Text"/>
    <w:basedOn w:val="Normal"/>
    <w:link w:val="BalloonTextChar"/>
    <w:uiPriority w:val="99"/>
    <w:semiHidden/>
    <w:unhideWhenUsed/>
    <w:rsid w:val="009501C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9501C0"/>
    <w:rPr>
      <w:rFonts w:ascii="Arial" w:hAnsi="Arial" w:cs="Arial"/>
      <w:sz w:val="18"/>
      <w:szCs w:val="18"/>
    </w:rPr>
  </w:style>
  <w:style w:type="paragraph" w:styleId="NormalWeb">
    <w:name w:val="Normal (Web)"/>
    <w:basedOn w:val="Normal"/>
    <w:uiPriority w:val="99"/>
    <w:semiHidden/>
    <w:unhideWhenUsed/>
    <w:rsid w:val="00DC747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11213"/>
    <w:pPr>
      <w:spacing w:after="0" w:line="240" w:lineRule="auto"/>
    </w:pPr>
  </w:style>
  <w:style w:type="paragraph" w:styleId="ListParagraph">
    <w:name w:val="List Paragraph"/>
    <w:basedOn w:val="Normal"/>
    <w:uiPriority w:val="34"/>
    <w:qFormat/>
    <w:rsid w:val="00E20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03742">
      <w:bodyDiv w:val="1"/>
      <w:marLeft w:val="0"/>
      <w:marRight w:val="0"/>
      <w:marTop w:val="0"/>
      <w:marBottom w:val="0"/>
      <w:divBdr>
        <w:top w:val="none" w:sz="0" w:space="0" w:color="auto"/>
        <w:left w:val="none" w:sz="0" w:space="0" w:color="auto"/>
        <w:bottom w:val="none" w:sz="0" w:space="0" w:color="auto"/>
        <w:right w:val="none" w:sz="0" w:space="0" w:color="auto"/>
      </w:divBdr>
    </w:div>
    <w:div w:id="1269239087">
      <w:bodyDiv w:val="1"/>
      <w:marLeft w:val="0"/>
      <w:marRight w:val="0"/>
      <w:marTop w:val="0"/>
      <w:marBottom w:val="0"/>
      <w:divBdr>
        <w:top w:val="none" w:sz="0" w:space="0" w:color="auto"/>
        <w:left w:val="none" w:sz="0" w:space="0" w:color="auto"/>
        <w:bottom w:val="none" w:sz="0" w:space="0" w:color="auto"/>
        <w:right w:val="none" w:sz="0" w:space="0" w:color="auto"/>
      </w:divBdr>
    </w:div>
    <w:div w:id="1784299750">
      <w:bodyDiv w:val="1"/>
      <w:marLeft w:val="0"/>
      <w:marRight w:val="0"/>
      <w:marTop w:val="0"/>
      <w:marBottom w:val="0"/>
      <w:divBdr>
        <w:top w:val="none" w:sz="0" w:space="0" w:color="auto"/>
        <w:left w:val="none" w:sz="0" w:space="0" w:color="auto"/>
        <w:bottom w:val="none" w:sz="0" w:space="0" w:color="auto"/>
        <w:right w:val="none" w:sz="0" w:space="0" w:color="auto"/>
      </w:divBdr>
      <w:divsChild>
        <w:div w:id="524438520">
          <w:marLeft w:val="547"/>
          <w:marRight w:val="0"/>
          <w:marTop w:val="0"/>
          <w:marBottom w:val="0"/>
          <w:divBdr>
            <w:top w:val="none" w:sz="0" w:space="0" w:color="auto"/>
            <w:left w:val="none" w:sz="0" w:space="0" w:color="auto"/>
            <w:bottom w:val="none" w:sz="0" w:space="0" w:color="auto"/>
            <w:right w:val="none" w:sz="0" w:space="0" w:color="auto"/>
          </w:divBdr>
        </w:div>
        <w:div w:id="772163011">
          <w:marLeft w:val="547"/>
          <w:marRight w:val="0"/>
          <w:marTop w:val="0"/>
          <w:marBottom w:val="0"/>
          <w:divBdr>
            <w:top w:val="none" w:sz="0" w:space="0" w:color="auto"/>
            <w:left w:val="none" w:sz="0" w:space="0" w:color="auto"/>
            <w:bottom w:val="none" w:sz="0" w:space="0" w:color="auto"/>
            <w:right w:val="none" w:sz="0" w:space="0" w:color="auto"/>
          </w:divBdr>
        </w:div>
        <w:div w:id="1095054011">
          <w:marLeft w:val="547"/>
          <w:marRight w:val="0"/>
          <w:marTop w:val="0"/>
          <w:marBottom w:val="0"/>
          <w:divBdr>
            <w:top w:val="none" w:sz="0" w:space="0" w:color="auto"/>
            <w:left w:val="none" w:sz="0" w:space="0" w:color="auto"/>
            <w:bottom w:val="none" w:sz="0" w:space="0" w:color="auto"/>
            <w:right w:val="none" w:sz="0" w:space="0" w:color="auto"/>
          </w:divBdr>
        </w:div>
        <w:div w:id="1454521311">
          <w:marLeft w:val="547"/>
          <w:marRight w:val="0"/>
          <w:marTop w:val="0"/>
          <w:marBottom w:val="0"/>
          <w:divBdr>
            <w:top w:val="none" w:sz="0" w:space="0" w:color="auto"/>
            <w:left w:val="none" w:sz="0" w:space="0" w:color="auto"/>
            <w:bottom w:val="none" w:sz="0" w:space="0" w:color="auto"/>
            <w:right w:val="none" w:sz="0" w:space="0" w:color="auto"/>
          </w:divBdr>
        </w:div>
        <w:div w:id="1955865687">
          <w:marLeft w:val="547"/>
          <w:marRight w:val="0"/>
          <w:marTop w:val="0"/>
          <w:marBottom w:val="0"/>
          <w:divBdr>
            <w:top w:val="none" w:sz="0" w:space="0" w:color="auto"/>
            <w:left w:val="none" w:sz="0" w:space="0" w:color="auto"/>
            <w:bottom w:val="none" w:sz="0" w:space="0" w:color="auto"/>
            <w:right w:val="none" w:sz="0" w:space="0" w:color="auto"/>
          </w:divBdr>
        </w:div>
        <w:div w:id="19798743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2182</Words>
  <Characters>12703</Characters>
  <Application>Microsoft Office Word</Application>
  <DocSecurity>0</DocSecurity>
  <Lines>226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 Associates</dc:creator>
  <cp:keywords/>
  <dc:description/>
  <cp:lastModifiedBy>Chip Richter</cp:lastModifiedBy>
  <cp:revision>1</cp:revision>
  <dcterms:created xsi:type="dcterms:W3CDTF">2025-01-29T16:05:00Z</dcterms:created>
  <dcterms:modified xsi:type="dcterms:W3CDTF">2025-11-14T13:54:00Z</dcterms:modified>
</cp:coreProperties>
</file>